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13" w:rsidRPr="00DE7947" w:rsidRDefault="00357113" w:rsidP="0035711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E794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18C9C2F" wp14:editId="2A507B69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13" w:rsidRPr="00DE7947" w:rsidRDefault="00357113" w:rsidP="0035711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E794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57113" w:rsidRPr="00DE7947" w:rsidRDefault="00357113" w:rsidP="0035711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E794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57113" w:rsidRPr="00DE7947" w:rsidRDefault="00357113" w:rsidP="0035711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E7947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357113" w:rsidRPr="00DE7947" w:rsidRDefault="00357113" w:rsidP="0035711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57113" w:rsidRPr="00DE7947" w:rsidRDefault="00357113" w:rsidP="0035711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E794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28 листопада 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180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-</w:t>
      </w:r>
      <w:r w:rsidRPr="00DE794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357113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6C3589">
        <w:rPr>
          <w:rFonts w:ascii="Times New Roman" w:hAnsi="Times New Roman"/>
          <w:b/>
          <w:sz w:val="28"/>
          <w:szCs w:val="28"/>
          <w:lang w:eastAsia="ar-SA"/>
        </w:rPr>
        <w:t>Барбінягрі</w:t>
      </w:r>
      <w:proofErr w:type="spellEnd"/>
      <w:r w:rsidR="006C3589">
        <w:rPr>
          <w:rFonts w:ascii="Times New Roman" w:hAnsi="Times New Roman"/>
          <w:b/>
          <w:sz w:val="28"/>
          <w:szCs w:val="28"/>
          <w:lang w:eastAsia="ar-SA"/>
        </w:rPr>
        <w:t xml:space="preserve"> Ользі Володимирівні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4264">
        <w:rPr>
          <w:rFonts w:ascii="Times New Roman" w:hAnsi="Times New Roman"/>
          <w:sz w:val="28"/>
          <w:szCs w:val="28"/>
          <w:lang w:eastAsia="uk-UA"/>
        </w:rPr>
        <w:t>Барбінягри</w:t>
      </w:r>
      <w:proofErr w:type="spellEnd"/>
      <w:r w:rsidR="00494264">
        <w:rPr>
          <w:rFonts w:ascii="Times New Roman" w:hAnsi="Times New Roman"/>
          <w:sz w:val="28"/>
          <w:szCs w:val="28"/>
          <w:lang w:eastAsia="uk-UA"/>
        </w:rPr>
        <w:t xml:space="preserve"> Ольги Володимирівни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4D24" w:rsidRPr="00A75F58">
        <w:rPr>
          <w:rFonts w:ascii="Times New Roman" w:hAnsi="Times New Roman"/>
          <w:sz w:val="28"/>
          <w:szCs w:val="28"/>
        </w:rPr>
        <w:t>(</w:t>
      </w:r>
      <w:r w:rsidR="00134D2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49426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134D24" w:rsidRPr="00A75F58">
        <w:rPr>
          <w:rFonts w:ascii="Times New Roman" w:hAnsi="Times New Roman"/>
          <w:sz w:val="28"/>
          <w:szCs w:val="28"/>
        </w:rPr>
        <w:t>(</w:t>
      </w:r>
      <w:r w:rsidR="00134D2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134D24" w:rsidRPr="00A75F58">
        <w:rPr>
          <w:rFonts w:ascii="Times New Roman" w:hAnsi="Times New Roman"/>
          <w:sz w:val="28"/>
          <w:szCs w:val="28"/>
        </w:rPr>
        <w:t>(</w:t>
      </w:r>
      <w:r w:rsidR="00134D2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34D2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E90AC5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E90AC5">
        <w:rPr>
          <w:rFonts w:ascii="Times New Roman" w:hAnsi="Times New Roman"/>
          <w:sz w:val="28"/>
          <w:szCs w:val="28"/>
          <w:lang w:eastAsia="uk-UA"/>
        </w:rPr>
        <w:t>Барбінягрі</w:t>
      </w:r>
      <w:proofErr w:type="spellEnd"/>
      <w:r w:rsidR="00E90AC5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81A0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0AC5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E90AC5">
        <w:rPr>
          <w:rFonts w:ascii="Times New Roman" w:hAnsi="Times New Roman"/>
          <w:sz w:val="28"/>
          <w:szCs w:val="28"/>
          <w:lang w:eastAsia="uk-UA"/>
        </w:rPr>
        <w:t>,                          вул. Молодіжна, 13.</w:t>
      </w:r>
    </w:p>
    <w:p w:rsidR="00134D24" w:rsidRPr="00134D24" w:rsidRDefault="00134D24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B30BD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31961">
        <w:rPr>
          <w:rFonts w:ascii="Times New Roman" w:hAnsi="Times New Roman"/>
          <w:sz w:val="28"/>
          <w:szCs w:val="28"/>
          <w:lang w:eastAsia="uk-UA"/>
        </w:rPr>
        <w:t>Барбінягрі</w:t>
      </w:r>
      <w:proofErr w:type="spellEnd"/>
      <w:r w:rsidR="00131961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131961">
        <w:rPr>
          <w:rFonts w:ascii="Times New Roman" w:hAnsi="Times New Roman"/>
          <w:sz w:val="28"/>
          <w:szCs w:val="28"/>
          <w:lang w:eastAsia="uk-UA"/>
        </w:rPr>
        <w:t>81</w:t>
      </w:r>
      <w:r w:rsidR="00F96D23">
        <w:rPr>
          <w:rFonts w:ascii="Times New Roman" w:hAnsi="Times New Roman"/>
          <w:sz w:val="28"/>
          <w:szCs w:val="28"/>
          <w:lang w:eastAsia="uk-UA"/>
        </w:rPr>
        <w:t>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31961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131961">
        <w:rPr>
          <w:rFonts w:ascii="Times New Roman" w:hAnsi="Times New Roman"/>
          <w:sz w:val="28"/>
          <w:szCs w:val="28"/>
          <w:lang w:eastAsia="uk-UA"/>
        </w:rPr>
        <w:t>293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131961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30BD1" w:rsidRPr="00B30BD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B30BD1" w:rsidRPr="00B30BD1">
        <w:rPr>
          <w:rFonts w:ascii="Times New Roman" w:hAnsi="Times New Roman"/>
          <w:sz w:val="28"/>
          <w:szCs w:val="28"/>
          <w:lang w:eastAsia="uk-UA"/>
        </w:rPr>
        <w:t>Гандр</w:t>
      </w:r>
      <w:r w:rsidR="00B30BD1">
        <w:rPr>
          <w:rFonts w:ascii="Times New Roman" w:hAnsi="Times New Roman"/>
          <w:sz w:val="28"/>
          <w:szCs w:val="28"/>
          <w:lang w:eastAsia="uk-UA"/>
        </w:rPr>
        <w:t>абури</w:t>
      </w:r>
      <w:proofErr w:type="spellEnd"/>
      <w:r w:rsidR="00B30BD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30BD1" w:rsidRPr="00B30BD1">
        <w:rPr>
          <w:rFonts w:ascii="Times New Roman" w:hAnsi="Times New Roman"/>
          <w:sz w:val="28"/>
          <w:szCs w:val="28"/>
          <w:lang w:eastAsia="uk-UA"/>
        </w:rPr>
        <w:t xml:space="preserve">вул. Молодіжна, </w:t>
      </w:r>
      <w:r w:rsidR="00396EC4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B30BD1" w:rsidRPr="00B30BD1">
        <w:rPr>
          <w:rFonts w:ascii="Times New Roman" w:hAnsi="Times New Roman"/>
          <w:sz w:val="28"/>
          <w:szCs w:val="28"/>
          <w:lang w:eastAsia="uk-UA"/>
        </w:rPr>
        <w:t>13.</w:t>
      </w:r>
    </w:p>
    <w:p w:rsidR="00B30BD1" w:rsidRPr="00305EDF" w:rsidRDefault="00B30BD1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134D24">
      <w:pPr>
        <w:pStyle w:val="a5"/>
        <w:tabs>
          <w:tab w:val="left" w:pos="993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2196A" w:rsidRPr="0012196A">
        <w:rPr>
          <w:rFonts w:ascii="Times New Roman" w:hAnsi="Times New Roman"/>
          <w:sz w:val="28"/>
          <w:szCs w:val="28"/>
          <w:lang w:eastAsia="uk-UA"/>
        </w:rPr>
        <w:t>Барбінягрі</w:t>
      </w:r>
      <w:proofErr w:type="spellEnd"/>
      <w:r w:rsidR="0012196A" w:rsidRPr="0012196A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3515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Барбінягри</w:t>
      </w:r>
      <w:proofErr w:type="spellEnd"/>
      <w:r w:rsidR="0073515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Ольги Володимирівни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247C7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196A"/>
    <w:rsid w:val="00125B74"/>
    <w:rsid w:val="00131961"/>
    <w:rsid w:val="00134C07"/>
    <w:rsid w:val="00134D24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05EDF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113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96EC4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4264"/>
    <w:rsid w:val="00496F8E"/>
    <w:rsid w:val="004A7602"/>
    <w:rsid w:val="004B0F72"/>
    <w:rsid w:val="004B2BAB"/>
    <w:rsid w:val="004B4CC7"/>
    <w:rsid w:val="004C03F6"/>
    <w:rsid w:val="004C343C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4F51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3589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11497"/>
    <w:rsid w:val="00724122"/>
    <w:rsid w:val="00727C97"/>
    <w:rsid w:val="00733565"/>
    <w:rsid w:val="00735151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0E08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4717B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0BD1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3A26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0AC5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D784-025C-4B46-A07E-42A673C5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16</cp:revision>
  <cp:lastPrinted>2025-11-27T09:39:00Z</cp:lastPrinted>
  <dcterms:created xsi:type="dcterms:W3CDTF">2025-11-24T06:36:00Z</dcterms:created>
  <dcterms:modified xsi:type="dcterms:W3CDTF">2025-11-28T09:17:00Z</dcterms:modified>
</cp:coreProperties>
</file>