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2A" w:rsidRPr="00A2482A" w:rsidRDefault="00A2482A" w:rsidP="00A248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B79193" wp14:editId="1D585EE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82A" w:rsidRPr="00A2482A" w:rsidRDefault="00A2482A" w:rsidP="00A2482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2482A" w:rsidRPr="00A2482A" w:rsidRDefault="00A2482A" w:rsidP="00A2482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2482A" w:rsidRPr="00A2482A" w:rsidRDefault="00A2482A" w:rsidP="00A24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A2482A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A2482A" w:rsidRPr="00A2482A" w:rsidRDefault="00A2482A" w:rsidP="00A2482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A2482A" w:rsidRPr="00A2482A" w:rsidRDefault="00F926C4" w:rsidP="00A2482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A2482A" w:rsidRPr="00A2482A">
        <w:rPr>
          <w:rFonts w:ascii="Times New Roman" w:eastAsia="Times New Roman" w:hAnsi="Times New Roman"/>
          <w:bCs/>
          <w:sz w:val="28"/>
          <w:szCs w:val="28"/>
        </w:rPr>
        <w:t>____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3E4E20" w:rsidRPr="005F310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8121D2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>ромадян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ці </w:t>
      </w:r>
      <w:proofErr w:type="spellStart"/>
      <w:r w:rsidR="00AE6D6B">
        <w:rPr>
          <w:rFonts w:ascii="Times New Roman" w:hAnsi="Times New Roman"/>
          <w:b/>
          <w:sz w:val="28"/>
          <w:szCs w:val="28"/>
          <w:lang w:eastAsia="uk-UA"/>
        </w:rPr>
        <w:t>Бабіченко</w:t>
      </w:r>
      <w:proofErr w:type="spellEnd"/>
      <w:r w:rsidR="00AE6D6B">
        <w:rPr>
          <w:rFonts w:ascii="Times New Roman" w:hAnsi="Times New Roman"/>
          <w:b/>
          <w:sz w:val="28"/>
          <w:szCs w:val="28"/>
          <w:lang w:eastAsia="uk-UA"/>
        </w:rPr>
        <w:t xml:space="preserve"> Оксані Вікторівні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</w:t>
      </w:r>
      <w:r w:rsidR="0054600B">
        <w:rPr>
          <w:rFonts w:ascii="Times New Roman" w:hAnsi="Times New Roman"/>
          <w:sz w:val="28"/>
          <w:szCs w:val="28"/>
          <w:lang w:eastAsia="uk-UA"/>
        </w:rPr>
        <w:t>а долучені документи громадянки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4600B">
        <w:rPr>
          <w:rFonts w:ascii="Times New Roman" w:hAnsi="Times New Roman"/>
          <w:sz w:val="28"/>
          <w:szCs w:val="28"/>
          <w:lang w:eastAsia="uk-UA"/>
        </w:rPr>
        <w:t>Бабіченко</w:t>
      </w:r>
      <w:proofErr w:type="spellEnd"/>
      <w:r w:rsidR="0054600B">
        <w:rPr>
          <w:rFonts w:ascii="Times New Roman" w:hAnsi="Times New Roman"/>
          <w:sz w:val="28"/>
          <w:szCs w:val="28"/>
          <w:lang w:eastAsia="uk-UA"/>
        </w:rPr>
        <w:t xml:space="preserve"> Оксани Вікторівни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54600B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F1628B" w:rsidRPr="002F383D">
        <w:rPr>
          <w:rFonts w:ascii="Times New Roman" w:hAnsi="Times New Roman"/>
          <w:sz w:val="28"/>
          <w:szCs w:val="28"/>
        </w:rPr>
        <w:t>(</w:t>
      </w:r>
      <w:r w:rsidR="00F1628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F1628B" w:rsidRPr="002F383D">
        <w:rPr>
          <w:rFonts w:ascii="Times New Roman" w:hAnsi="Times New Roman"/>
          <w:sz w:val="28"/>
          <w:szCs w:val="28"/>
        </w:rPr>
        <w:t>(</w:t>
      </w:r>
      <w:r w:rsidR="00F1628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72877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F1628B" w:rsidRPr="002F383D">
        <w:rPr>
          <w:rFonts w:ascii="Times New Roman" w:hAnsi="Times New Roman"/>
          <w:sz w:val="28"/>
          <w:szCs w:val="28"/>
        </w:rPr>
        <w:t>(</w:t>
      </w:r>
      <w:r w:rsidR="00F1628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F1628B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77287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72877">
        <w:rPr>
          <w:rFonts w:ascii="Times New Roman" w:hAnsi="Times New Roman"/>
          <w:sz w:val="28"/>
          <w:szCs w:val="28"/>
          <w:lang w:eastAsia="uk-UA"/>
        </w:rPr>
        <w:t>Бабіченко</w:t>
      </w:r>
      <w:proofErr w:type="spellEnd"/>
      <w:r w:rsidR="00772877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</w:t>
      </w:r>
      <w:r w:rsidR="00A947A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громади</w:t>
      </w:r>
      <w:r w:rsidR="001F587B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75912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</w:t>
      </w:r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с. </w:t>
      </w:r>
      <w:proofErr w:type="spellStart"/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08295F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</w:t>
      </w:r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727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>Бабіченко</w:t>
      </w:r>
      <w:proofErr w:type="spellEnd"/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 xml:space="preserve"> Оксані Вікторівні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громадянки </w:t>
      </w:r>
      <w:proofErr w:type="spellStart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>Бабіченко</w:t>
      </w:r>
      <w:proofErr w:type="spellEnd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Оксани Вікторівни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75912"/>
    <w:rsid w:val="0008295F"/>
    <w:rsid w:val="00086F49"/>
    <w:rsid w:val="000871C2"/>
    <w:rsid w:val="00092503"/>
    <w:rsid w:val="00097FC9"/>
    <w:rsid w:val="000A0B70"/>
    <w:rsid w:val="000C2A83"/>
    <w:rsid w:val="000C4EEC"/>
    <w:rsid w:val="000D70CD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234FE"/>
    <w:rsid w:val="00242501"/>
    <w:rsid w:val="00242503"/>
    <w:rsid w:val="00266A53"/>
    <w:rsid w:val="00267102"/>
    <w:rsid w:val="00271F44"/>
    <w:rsid w:val="002840B9"/>
    <w:rsid w:val="002A6637"/>
    <w:rsid w:val="002F5B79"/>
    <w:rsid w:val="002F7FC0"/>
    <w:rsid w:val="00302405"/>
    <w:rsid w:val="00315405"/>
    <w:rsid w:val="0033109E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D4D60"/>
    <w:rsid w:val="003E4E20"/>
    <w:rsid w:val="003F5359"/>
    <w:rsid w:val="0040035C"/>
    <w:rsid w:val="00402BE8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4600B"/>
    <w:rsid w:val="005474C1"/>
    <w:rsid w:val="005544F1"/>
    <w:rsid w:val="00566E8A"/>
    <w:rsid w:val="0057432B"/>
    <w:rsid w:val="00593B53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97AC5"/>
    <w:rsid w:val="006B0991"/>
    <w:rsid w:val="006B2570"/>
    <w:rsid w:val="006C52C2"/>
    <w:rsid w:val="006D6465"/>
    <w:rsid w:val="006F0C4D"/>
    <w:rsid w:val="00727FE4"/>
    <w:rsid w:val="0074536F"/>
    <w:rsid w:val="007648D0"/>
    <w:rsid w:val="00772877"/>
    <w:rsid w:val="007B32FA"/>
    <w:rsid w:val="007C2576"/>
    <w:rsid w:val="007E2DF9"/>
    <w:rsid w:val="007E6C01"/>
    <w:rsid w:val="008121D2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AE6D6B"/>
    <w:rsid w:val="00B00B96"/>
    <w:rsid w:val="00B138AF"/>
    <w:rsid w:val="00B33992"/>
    <w:rsid w:val="00B41994"/>
    <w:rsid w:val="00B52A00"/>
    <w:rsid w:val="00B549FE"/>
    <w:rsid w:val="00B76E93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4B62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7629C"/>
    <w:rsid w:val="00E96FC0"/>
    <w:rsid w:val="00EB2C1D"/>
    <w:rsid w:val="00EC7523"/>
    <w:rsid w:val="00ED17DA"/>
    <w:rsid w:val="00EF1C4C"/>
    <w:rsid w:val="00EF6FA6"/>
    <w:rsid w:val="00F1628B"/>
    <w:rsid w:val="00F16956"/>
    <w:rsid w:val="00F413FA"/>
    <w:rsid w:val="00F61306"/>
    <w:rsid w:val="00F71BF3"/>
    <w:rsid w:val="00F80E40"/>
    <w:rsid w:val="00F828BE"/>
    <w:rsid w:val="00F926C4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DD41-1D60-4D25-871F-A297B8E9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2025-09-08T13:34:00Z</cp:lastPrinted>
  <dcterms:created xsi:type="dcterms:W3CDTF">2025-11-24T06:53:00Z</dcterms:created>
  <dcterms:modified xsi:type="dcterms:W3CDTF">2025-12-17T09:48:00Z</dcterms:modified>
</cp:coreProperties>
</file>