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B2" w:rsidRPr="001478B2" w:rsidRDefault="001478B2" w:rsidP="001478B2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1478B2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1478B2" w:rsidRPr="001478B2" w:rsidRDefault="001478B2" w:rsidP="001478B2">
      <w:pPr>
        <w:widowControl w:val="0"/>
        <w:autoSpaceDE w:val="0"/>
        <w:autoSpaceDN w:val="0"/>
        <w:spacing w:after="0" w:line="240" w:lineRule="auto"/>
        <w:ind w:left="5670" w:firstLine="2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78B2">
        <w:rPr>
          <w:rFonts w:ascii="Times New Roman" w:eastAsia="Calibri" w:hAnsi="Times New Roman" w:cs="Times New Roman"/>
          <w:sz w:val="28"/>
          <w:szCs w:val="28"/>
        </w:rPr>
        <w:t>Розпорядження</w:t>
      </w:r>
      <w:proofErr w:type="spellEnd"/>
      <w:r w:rsidRPr="00147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B2">
        <w:rPr>
          <w:rFonts w:ascii="Times New Roman" w:eastAsia="Calibri" w:hAnsi="Times New Roman" w:cs="Times New Roman"/>
          <w:sz w:val="28"/>
          <w:szCs w:val="28"/>
        </w:rPr>
        <w:t>Ананьївського</w:t>
      </w:r>
      <w:proofErr w:type="spellEnd"/>
      <w:r w:rsidRPr="00147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B2">
        <w:rPr>
          <w:rFonts w:ascii="Times New Roman" w:eastAsia="Calibri" w:hAnsi="Times New Roman" w:cs="Times New Roman"/>
          <w:sz w:val="28"/>
          <w:szCs w:val="28"/>
        </w:rPr>
        <w:t>міського</w:t>
      </w:r>
      <w:proofErr w:type="spellEnd"/>
      <w:r w:rsidRPr="00147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78B2">
        <w:rPr>
          <w:rFonts w:ascii="Times New Roman" w:eastAsia="Calibri" w:hAnsi="Times New Roman" w:cs="Times New Roman"/>
          <w:sz w:val="28"/>
          <w:szCs w:val="28"/>
        </w:rPr>
        <w:t>голови</w:t>
      </w:r>
      <w:proofErr w:type="spellEnd"/>
    </w:p>
    <w:p w:rsidR="001478B2" w:rsidRPr="001478B2" w:rsidRDefault="001478B2" w:rsidP="001478B2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78B2">
        <w:rPr>
          <w:rFonts w:ascii="Times New Roman" w:eastAsia="Calibri" w:hAnsi="Times New Roman" w:cs="Times New Roman"/>
          <w:sz w:val="28"/>
          <w:szCs w:val="28"/>
          <w:lang w:val="uk-UA"/>
        </w:rPr>
        <w:t>від 12 липня 2021 року</w:t>
      </w:r>
    </w:p>
    <w:p w:rsidR="001478B2" w:rsidRPr="001478B2" w:rsidRDefault="001478B2" w:rsidP="001478B2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78B2">
        <w:rPr>
          <w:rFonts w:ascii="Times New Roman" w:eastAsia="Calibri" w:hAnsi="Times New Roman" w:cs="Times New Roman"/>
          <w:sz w:val="28"/>
          <w:szCs w:val="28"/>
          <w:lang w:val="uk-UA"/>
        </w:rPr>
        <w:t>№128/од-2021</w:t>
      </w:r>
    </w:p>
    <w:p w:rsidR="001478B2" w:rsidRPr="001478B2" w:rsidRDefault="001478B2" w:rsidP="001478B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478B2" w:rsidRPr="001478B2" w:rsidRDefault="001478B2" w:rsidP="001478B2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78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Перелік наборів даних, які підлягають оприлюдненню у формі відкритих даних, розпорядником яких є Ананьївська міська  рада</w:t>
      </w:r>
    </w:p>
    <w:p w:rsidR="001478B2" w:rsidRPr="001478B2" w:rsidRDefault="001478B2" w:rsidP="001478B2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Довідник підприємств, установ (закладів) та організацій розпорядника інформації та підпорядкованих йому організацій, у тому числі їх телефонів та адрес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Інформація про організаційну структуру розпорядника інформації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Звіт про використання бюджетних коштів (для розпорядників інформації, що використовують бюджетні кошти), зокрема за окремими бюджетними програмами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Нормативи, що затверджуються розпорядником інформації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Переліки національних стандартів, які в разі добровільного застосування є доказом відповідності продукції вимогам технічних регламентів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Звіти, в тому числі щодо задоволення запитів на інформацію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Річні плани закупівель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Інформація про систему обліку, види інформації, яка зберігається розпорядником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Реєстр (перелік) наборів відкритих даних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Переліки адміністративних послуг, інформаційні картки адміністративних послуг та бланки заяв, необхідних для звернення щодо надання адміністративної послуги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Адміністративні дані, що збираються (обробляються) розпорядником інформації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Правові акти, що підлягають оприлюдненню відповідно до Закону України “Про доступ до публічної інформації”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Фінансова звітність суб’єктів господарювання державного сектору економіки, що належать до сфери управління розпорядника </w:t>
      </w:r>
      <w:proofErr w:type="spellStart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інформаці</w:t>
      </w:r>
      <w:proofErr w:type="spellEnd"/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Перелік об’єктів комунальної власності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0" w:name="n3657"/>
      <w:bookmarkEnd w:id="0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Звіти про виконання фінансових планів комунальних підприємств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1" w:name="n3658"/>
      <w:bookmarkEnd w:id="1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Титульні списки на проведення капітального та поточного ремонту, будівництва, реконструкції та благоустрою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2" w:name="n3659"/>
      <w:bookmarkEnd w:id="2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3" w:name="n3660"/>
      <w:bookmarkEnd w:id="3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4" w:name="n3661"/>
      <w:bookmarkEnd w:id="4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об’єкти та засоби торгівлі (пересувної, сезонної тощо)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5" w:name="n3662"/>
      <w:bookmarkEnd w:id="5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6" w:name="n3663"/>
      <w:bookmarkEnd w:id="6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Відомості про залучення, розрахунок розміру і використання коштів пайової участі у розвитку інфраструктури населеного пункту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7" w:name="n3664"/>
      <w:bookmarkEnd w:id="7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</w:r>
      <w:proofErr w:type="spellStart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пасажиромісткість</w:t>
      </w:r>
      <w:proofErr w:type="spellEnd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)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8" w:name="n3665"/>
      <w:bookmarkEnd w:id="8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місце розміщення зупинок міського електричного та автомобільного транспорту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9" w:name="n3666"/>
      <w:bookmarkEnd w:id="9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10" w:name="n3667"/>
      <w:bookmarkEnd w:id="10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Поіменні результати голосування депутатів на пленарних засіданнях органу місцевого самоврядування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11" w:name="n3668"/>
      <w:bookmarkEnd w:id="11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депутатів місцевих рад, у тому числі контактну інформацію та графік прийому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12" w:name="n3669"/>
      <w:bookmarkEnd w:id="12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зелені насадження, що підлягають видаленню, відповідно до виданих актів обстеження зелених насаджень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13" w:name="n3670"/>
      <w:bookmarkEnd w:id="13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Дані про доступність будівель для осіб з інвалідністю та інших </w:t>
      </w:r>
      <w:proofErr w:type="spellStart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маломобільних</w:t>
      </w:r>
      <w:proofErr w:type="spellEnd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груп населення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14" w:name="n3671"/>
      <w:bookmarkEnd w:id="14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надходження звернень на телефонні “гарячі лінії”, в аварійно-диспетчерські служби, телефонні центри тощо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15" w:name="n3672"/>
      <w:bookmarkEnd w:id="15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електронні петиції, у тому числі осіб, що їх підписали, та результати розгляду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16" w:name="n3673"/>
      <w:bookmarkEnd w:id="16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Дані громадського бюджету, </w:t>
      </w:r>
      <w:proofErr w:type="spellStart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бюджету</w:t>
      </w:r>
      <w:proofErr w:type="spellEnd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участі тощо, у тому числі про проекти, результати голосування, реалізацію підтриманих проектів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17" w:name="n3674"/>
      <w:bookmarkEnd w:id="17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>Дані про паркування, у тому числі розміщення майданчиків, їх операторів, обладнання та функціонування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18" w:name="n3675"/>
      <w:bookmarkEnd w:id="18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Адресний реєстр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19" w:name="n3676"/>
      <w:bookmarkEnd w:id="19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надані адміністративні послуги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20" w:name="n3677"/>
      <w:bookmarkEnd w:id="20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видані будівельні паспорти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21" w:name="n3678"/>
      <w:bookmarkEnd w:id="21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медичне обладнання комунальних закладів охорони здоров’я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22" w:name="n3679"/>
      <w:bookmarkEnd w:id="22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23" w:name="n3680"/>
      <w:bookmarkEnd w:id="23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черги дітей у дошкільні навчальні заклади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24" w:name="n3681"/>
      <w:bookmarkEnd w:id="24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Території обслуговування загальноосвітніх навчальних закладів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25" w:name="n3682"/>
      <w:bookmarkEnd w:id="25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Дані містобудівного кадастру, у тому числі </w:t>
      </w:r>
      <w:proofErr w:type="spellStart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геопросторові</w:t>
      </w:r>
      <w:proofErr w:type="spellEnd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дані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26" w:name="n3683"/>
      <w:bookmarkEnd w:id="26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видані дозволи на порушення об’єктів благоустрою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27" w:name="n3684"/>
      <w:bookmarkEnd w:id="27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облік громадян, які потребують поліпшення житлових умов (квартирний облік)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28" w:name="n3685"/>
      <w:bookmarkEnd w:id="28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споживання комунальних послуг (електрична енергія, теплова енергія, природний газ, тверде паливо, холодна та гаряча вода) комунальними підприємствами, установами та організаціями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29" w:name="n3686"/>
      <w:bookmarkEnd w:id="29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Надходження і використання благодійної допомоги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30" w:name="n3687"/>
      <w:bookmarkEnd w:id="30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31" w:name="n3688"/>
      <w:bookmarkEnd w:id="31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 </w:t>
      </w:r>
      <w:hyperlink r:id="rId5" w:anchor="n476" w:tgtFrame="_blank" w:history="1">
        <w:r w:rsidRPr="001478B2">
          <w:rPr>
            <w:rFonts w:ascii="Times New Roman" w:eastAsia="Calibri" w:hAnsi="Times New Roman" w:cs="Times New Roman"/>
            <w:sz w:val="28"/>
            <w:szCs w:val="28"/>
            <w:u w:val="single"/>
            <w:lang w:val="uk-UA" w:eastAsia="uk-UA"/>
          </w:rPr>
          <w:t>пунктом 6</w:t>
        </w:r>
      </w:hyperlink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 розділу “Прикінцеві та перехідні положення” Закону України “Про оренду державного та комунального майна”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32" w:name="n3689"/>
      <w:bookmarkEnd w:id="32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Перелік об’єктів комунальної власності, які можуть бути передані в оренду (до дати, визначеної </w:t>
      </w:r>
      <w:hyperlink r:id="rId6" w:anchor="n460" w:tgtFrame="_blank" w:history="1">
        <w:r w:rsidRPr="001478B2">
          <w:rPr>
            <w:rFonts w:ascii="Times New Roman" w:eastAsia="Calibri" w:hAnsi="Times New Roman" w:cs="Times New Roman"/>
            <w:sz w:val="28"/>
            <w:szCs w:val="28"/>
            <w:u w:val="single"/>
            <w:lang w:val="uk-UA" w:eastAsia="uk-UA"/>
          </w:rPr>
          <w:t>підпунктом 1</w:t>
        </w:r>
      </w:hyperlink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 пункту 1 розділу “Прикінцеві та перехідні положення” Закону України “Про оренду державного та комунального майна”)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33" w:name="n3690"/>
      <w:bookmarkEnd w:id="33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34" w:name="n3691"/>
      <w:bookmarkEnd w:id="34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Дані про місцезнаходження міського електричного та пасажирського автомобільного транспорту в режимі реального часу, у тому числі </w:t>
      </w:r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>короткострокові зміни в русі транспорту та час прибуття транспорту на зупинки в режимі реального часу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35" w:name="n3692"/>
      <w:bookmarkEnd w:id="35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роз</w:t>
      </w:r>
      <w:bookmarkStart w:id="36" w:name="_GoBack"/>
      <w:bookmarkEnd w:id="36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міщення громадських вбиралень комунальної власності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37" w:name="n3693"/>
      <w:bookmarkEnd w:id="37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38" w:name="n3694"/>
      <w:bookmarkEnd w:id="38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Розклад руху міського електричного та автомобільного транспорту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39" w:name="n3695"/>
      <w:bookmarkEnd w:id="39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40" w:name="n3696"/>
      <w:bookmarkEnd w:id="40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Перелік орендарів, з якими укладено договори оренди землі комунальної власності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41" w:name="n3697"/>
      <w:bookmarkEnd w:id="41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щодо ремонту автомобільних доріг місцевого значення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42" w:name="n3698"/>
      <w:bookmarkEnd w:id="42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Реєстр містобудівних умов та обмежень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43" w:name="n3699"/>
      <w:bookmarkEnd w:id="43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тарифи на комунальні послуги, які затверджуються органом місцевого самоврядування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44" w:name="n3700"/>
      <w:bookmarkEnd w:id="44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Перелік цільових місцевих програм, змін до цільових місцевих програм та звітів про виконання цільових місцевих програм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45" w:name="n3701"/>
      <w:bookmarkEnd w:id="45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Перелік заяв щодо безоплатної приватизації земельних ділянок громадянами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46" w:name="n3702"/>
      <w:bookmarkEnd w:id="46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розміщення тимчасових споруд для провадження підприємницької діяльності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47" w:name="n3703"/>
      <w:bookmarkEnd w:id="47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48" w:name="n3704"/>
      <w:bookmarkEnd w:id="48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місцезнаходження комунальних об’єктів управління відходами, їх площі та обсяги надходжень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49" w:name="n3705"/>
      <w:bookmarkEnd w:id="49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вилов, стерилізацію та ідентифікацію безпритульних тварин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50" w:name="n3706"/>
      <w:bookmarkEnd w:id="50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дитячі, спортивні та інші майданчики для дозвілля та відпочинку, що перебувають у комунальній власності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51" w:name="n3707"/>
      <w:bookmarkEnd w:id="51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накладені штрафи за порушення правил паркування транспортних засобів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52" w:name="n3708"/>
      <w:bookmarkEnd w:id="52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місцезнаходження зон для вигулу домашніх тварин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53" w:name="n3709"/>
      <w:bookmarkEnd w:id="53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щодо місцезнаходження камер відеоспостереження, що перебувають у комунальній власності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54" w:name="n3710"/>
      <w:bookmarkEnd w:id="54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>Дані про розташування захисних споруд цивільного захисту комунальної власності</w:t>
      </w:r>
    </w:p>
    <w:p w:rsidR="001478B2" w:rsidRPr="001478B2" w:rsidRDefault="001478B2" w:rsidP="001478B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bookmarkStart w:id="55" w:name="n3711"/>
      <w:bookmarkEnd w:id="55"/>
      <w:r w:rsidRPr="001478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Дані про місцезнаходження зарядних станцій для електричного транспорту.</w:t>
      </w:r>
    </w:p>
    <w:p w:rsidR="001478B2" w:rsidRPr="001478B2" w:rsidRDefault="001478B2" w:rsidP="001478B2">
      <w:pPr>
        <w:widowControl w:val="0"/>
        <w:tabs>
          <w:tab w:val="left" w:pos="791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78B2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</w:p>
    <w:p w:rsidR="002344A5" w:rsidRPr="001478B2" w:rsidRDefault="002344A5"/>
    <w:sectPr w:rsidR="002344A5" w:rsidRPr="0014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6C"/>
    <w:rsid w:val="001478B2"/>
    <w:rsid w:val="002344A5"/>
    <w:rsid w:val="00EC735B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57-20" TargetMode="External"/><Relationship Id="rId5" Type="http://schemas.openxmlformats.org/officeDocument/2006/relationships/hyperlink" Target="https://zakon.rada.gov.ua/laws/show/157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2025-05-19T12:07:00Z</dcterms:created>
  <dcterms:modified xsi:type="dcterms:W3CDTF">2025-05-19T12:08:00Z</dcterms:modified>
</cp:coreProperties>
</file>