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5" w:rsidRPr="00C37135" w:rsidRDefault="00C37135" w:rsidP="00C37135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C37135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6AB2D3" wp14:editId="625B3658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35" w:rsidRPr="00C37135" w:rsidRDefault="00C37135" w:rsidP="00C37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C37135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37135" w:rsidRPr="00C37135" w:rsidTr="00312AE1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37135" w:rsidRPr="00C37135" w:rsidRDefault="00C37135" w:rsidP="00C3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C37135" w:rsidRPr="00C37135" w:rsidRDefault="00C37135" w:rsidP="00C37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C37135" w:rsidRPr="00C37135" w:rsidRDefault="00C37135" w:rsidP="00C37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C37135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C37135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C37135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C37135" w:rsidRPr="00C37135" w:rsidRDefault="00C37135" w:rsidP="00C37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C37135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C37135" w:rsidRPr="00C37135" w:rsidRDefault="00C37135" w:rsidP="00C37135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A54572" w:rsidP="00AB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E3644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824465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 w:rsidR="00EF6836">
        <w:rPr>
          <w:rFonts w:ascii="Times New Roman" w:hAnsi="Times New Roman" w:cs="Times New Roman"/>
          <w:sz w:val="28"/>
          <w:szCs w:val="28"/>
        </w:rPr>
        <w:tab/>
      </w:r>
      <w:r w:rsidR="00780EE2" w:rsidRPr="00E67194">
        <w:rPr>
          <w:rFonts w:ascii="Times New Roman" w:hAnsi="Times New Roman" w:cs="Times New Roman"/>
          <w:sz w:val="28"/>
          <w:szCs w:val="28"/>
        </w:rPr>
        <w:t>№</w:t>
      </w:r>
      <w:r w:rsidR="00EF6836">
        <w:rPr>
          <w:rFonts w:ascii="Times New Roman" w:hAnsi="Times New Roman" w:cs="Times New Roman"/>
          <w:sz w:val="28"/>
          <w:szCs w:val="28"/>
        </w:rPr>
        <w:t> 12</w:t>
      </w:r>
      <w:r w:rsidR="00780EE2" w:rsidRPr="00E67194">
        <w:rPr>
          <w:rFonts w:ascii="Times New Roman" w:hAnsi="Times New Roman" w:cs="Times New Roman"/>
          <w:sz w:val="28"/>
          <w:szCs w:val="28"/>
        </w:rPr>
        <w:t>/од-202</w:t>
      </w:r>
      <w:r w:rsidR="004F290F">
        <w:rPr>
          <w:rFonts w:ascii="Times New Roman" w:hAnsi="Times New Roman" w:cs="Times New Roman"/>
          <w:sz w:val="28"/>
          <w:szCs w:val="28"/>
        </w:rPr>
        <w:t>5</w:t>
      </w:r>
    </w:p>
    <w:p w:rsidR="00101A1A" w:rsidRPr="00E67194" w:rsidRDefault="00101A1A" w:rsidP="00AB1560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AB1560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>виклику до д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ругого 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AB1560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64754" w:rsidRDefault="00101A1A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F647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</w:t>
      </w:r>
      <w:r w:rsidR="00F64754">
        <w:rPr>
          <w:rFonts w:ascii="Times New Roman" w:hAnsi="Times New Roman" w:cs="Times New Roman"/>
          <w:sz w:val="28"/>
          <w:szCs w:val="28"/>
        </w:rPr>
        <w:t>раїни від 16 травня 2024 року №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F6475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F6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 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розпорядження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ради до групи оповіщення №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22.01.2025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36, від 22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>23, від 23.01.2025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</w:p>
    <w:p w:rsidR="00F64754" w:rsidRPr="00AB1560" w:rsidRDefault="00F64754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Pr="00F64754" w:rsidRDefault="00576438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6475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зобов’язую</w:t>
      </w:r>
      <w:r w:rsidRPr="00F6475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835EDB" w:rsidRDefault="00835EDB" w:rsidP="00AB1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року та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 року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ED9" w:rsidRP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35, від 22.01.2025 року № </w:t>
      </w:r>
      <w:r w:rsidR="00847ED9" w:rsidRP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36, від 22.01.2025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ED9" w:rsidRP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37, від 22.01.2025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7ED9" w:rsidRP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23.01.2025 року №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розпорядження)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AB1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січня 2025 року та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</w:t>
      </w:r>
      <w:r w:rsidR="000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9707EF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15F80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</w:t>
      </w:r>
      <w:proofErr w:type="spellEnd"/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ьїв, Подільськ</w:t>
      </w:r>
      <w:r w:rsidR="00415F80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Одеськ</w:t>
      </w:r>
      <w:r w:rsidR="00415F80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415F80" w:rsidRPr="009707EF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bookmarkStart w:id="0" w:name="_GoBack"/>
      <w:bookmarkEnd w:id="0"/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року та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ідомити д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ругий 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2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ругого 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41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шт.).</w:t>
      </w:r>
    </w:p>
    <w:p w:rsidR="004E3644" w:rsidRDefault="004E3644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 w:rsidR="002E571E" w:rsidRP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415F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8A7E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>) літрів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AB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D223E7" w:rsidP="00AB1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</w:p>
    <w:p w:rsidR="00013918" w:rsidRDefault="00013918" w:rsidP="00A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67E64"/>
    <w:rsid w:val="000742A6"/>
    <w:rsid w:val="0008489E"/>
    <w:rsid w:val="000B25DD"/>
    <w:rsid w:val="000C5225"/>
    <w:rsid w:val="00101A1A"/>
    <w:rsid w:val="001207EC"/>
    <w:rsid w:val="001B4ABA"/>
    <w:rsid w:val="00232E96"/>
    <w:rsid w:val="00243E38"/>
    <w:rsid w:val="002517A3"/>
    <w:rsid w:val="002769CC"/>
    <w:rsid w:val="002A7DCF"/>
    <w:rsid w:val="002E1279"/>
    <w:rsid w:val="002E571E"/>
    <w:rsid w:val="00311338"/>
    <w:rsid w:val="00336681"/>
    <w:rsid w:val="003B0288"/>
    <w:rsid w:val="003C0CB2"/>
    <w:rsid w:val="003F2424"/>
    <w:rsid w:val="00415F80"/>
    <w:rsid w:val="004400D4"/>
    <w:rsid w:val="0046728E"/>
    <w:rsid w:val="00467905"/>
    <w:rsid w:val="00481C6D"/>
    <w:rsid w:val="004C6B27"/>
    <w:rsid w:val="004E3644"/>
    <w:rsid w:val="004F290F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6C87"/>
    <w:rsid w:val="00654DFA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357D6"/>
    <w:rsid w:val="00766264"/>
    <w:rsid w:val="00773C8B"/>
    <w:rsid w:val="00777459"/>
    <w:rsid w:val="00780EE2"/>
    <w:rsid w:val="0079700A"/>
    <w:rsid w:val="007A4D2E"/>
    <w:rsid w:val="007F31F4"/>
    <w:rsid w:val="0080525D"/>
    <w:rsid w:val="00811D1D"/>
    <w:rsid w:val="00815B31"/>
    <w:rsid w:val="00823BD6"/>
    <w:rsid w:val="00824465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2053C"/>
    <w:rsid w:val="009707EF"/>
    <w:rsid w:val="009C6CC9"/>
    <w:rsid w:val="00A32313"/>
    <w:rsid w:val="00A54572"/>
    <w:rsid w:val="00A5553B"/>
    <w:rsid w:val="00A711CC"/>
    <w:rsid w:val="00A86353"/>
    <w:rsid w:val="00A93B3B"/>
    <w:rsid w:val="00AA3896"/>
    <w:rsid w:val="00AB1560"/>
    <w:rsid w:val="00AE26C0"/>
    <w:rsid w:val="00AE4CA6"/>
    <w:rsid w:val="00B0173E"/>
    <w:rsid w:val="00B0679A"/>
    <w:rsid w:val="00B15513"/>
    <w:rsid w:val="00B572E7"/>
    <w:rsid w:val="00B76F4F"/>
    <w:rsid w:val="00B803E9"/>
    <w:rsid w:val="00B80AC6"/>
    <w:rsid w:val="00BA201F"/>
    <w:rsid w:val="00BA6246"/>
    <w:rsid w:val="00BC65D8"/>
    <w:rsid w:val="00C22E24"/>
    <w:rsid w:val="00C32D77"/>
    <w:rsid w:val="00C37135"/>
    <w:rsid w:val="00C54C52"/>
    <w:rsid w:val="00C8593D"/>
    <w:rsid w:val="00CA31CF"/>
    <w:rsid w:val="00CB1EEC"/>
    <w:rsid w:val="00CF30C4"/>
    <w:rsid w:val="00D1557C"/>
    <w:rsid w:val="00D21AD8"/>
    <w:rsid w:val="00D223E7"/>
    <w:rsid w:val="00D226F0"/>
    <w:rsid w:val="00D44D31"/>
    <w:rsid w:val="00DE4792"/>
    <w:rsid w:val="00E13D3A"/>
    <w:rsid w:val="00E200CD"/>
    <w:rsid w:val="00E67194"/>
    <w:rsid w:val="00E67316"/>
    <w:rsid w:val="00E758BB"/>
    <w:rsid w:val="00EB72D4"/>
    <w:rsid w:val="00EC5505"/>
    <w:rsid w:val="00EE4CB0"/>
    <w:rsid w:val="00EF6836"/>
    <w:rsid w:val="00F517B2"/>
    <w:rsid w:val="00F64754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C28D-5FE2-4751-A5E3-18E7642C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25</cp:revision>
  <cp:lastPrinted>2025-01-28T09:21:00Z</cp:lastPrinted>
  <dcterms:created xsi:type="dcterms:W3CDTF">2024-06-12T10:15:00Z</dcterms:created>
  <dcterms:modified xsi:type="dcterms:W3CDTF">2025-05-16T13:14:00Z</dcterms:modified>
</cp:coreProperties>
</file>