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45" w:rsidRPr="009C3A45" w:rsidRDefault="009C3A45" w:rsidP="009C3A4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C3A4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17186BD" wp14:editId="4B4AC5BE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45" w:rsidRPr="009C3A45" w:rsidRDefault="009C3A45" w:rsidP="009C3A4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C3A4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C3A45" w:rsidRPr="009C3A45" w:rsidRDefault="009C3A45" w:rsidP="009C3A4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9C3A4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C3A45" w:rsidRPr="009C3A45" w:rsidRDefault="009C3A45" w:rsidP="009C3A4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3A4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C3A45" w:rsidRPr="009C3A45" w:rsidRDefault="009C3A45" w:rsidP="009C3A4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C3A45" w:rsidRPr="009C3A45" w:rsidRDefault="009C3A45" w:rsidP="009C3A4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C3A4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9C3A45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9C3A45">
        <w:rPr>
          <w:rFonts w:ascii="Times New Roman" w:eastAsia="Times New Roman" w:hAnsi="Times New Roman"/>
          <w:bCs/>
          <w:sz w:val="28"/>
          <w:szCs w:val="28"/>
        </w:rPr>
        <w:tab/>
      </w:r>
      <w:r w:rsidRPr="009C3A45">
        <w:rPr>
          <w:rFonts w:ascii="Times New Roman" w:eastAsia="Times New Roman" w:hAnsi="Times New Roman"/>
          <w:bCs/>
          <w:sz w:val="28"/>
          <w:szCs w:val="28"/>
        </w:rPr>
        <w:tab/>
      </w:r>
      <w:r w:rsidRPr="009C3A45">
        <w:rPr>
          <w:rFonts w:ascii="Times New Roman" w:eastAsia="Times New Roman" w:hAnsi="Times New Roman"/>
          <w:bCs/>
          <w:sz w:val="28"/>
          <w:szCs w:val="28"/>
        </w:rPr>
        <w:tab/>
      </w:r>
      <w:r w:rsidRPr="009C3A45">
        <w:rPr>
          <w:rFonts w:ascii="Times New Roman" w:eastAsia="Times New Roman" w:hAnsi="Times New Roman"/>
          <w:bCs/>
          <w:sz w:val="28"/>
          <w:szCs w:val="28"/>
        </w:rPr>
        <w:tab/>
      </w:r>
      <w:r w:rsidRPr="009C3A45">
        <w:rPr>
          <w:rFonts w:ascii="Times New Roman" w:eastAsia="Times New Roman" w:hAnsi="Times New Roman"/>
          <w:bCs/>
          <w:sz w:val="28"/>
          <w:szCs w:val="28"/>
        </w:rPr>
        <w:tab/>
      </w:r>
      <w:r w:rsidRPr="009C3A45">
        <w:rPr>
          <w:rFonts w:ascii="Times New Roman" w:eastAsia="Times New Roman" w:hAnsi="Times New Roman"/>
          <w:bCs/>
          <w:sz w:val="28"/>
          <w:szCs w:val="28"/>
        </w:rPr>
        <w:tab/>
      </w:r>
      <w:r w:rsidRPr="009C3A45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</w:t>
      </w:r>
      <w:r>
        <w:rPr>
          <w:rFonts w:ascii="Times New Roman" w:eastAsia="Times New Roman" w:hAnsi="Times New Roman"/>
          <w:bCs/>
          <w:sz w:val="28"/>
          <w:szCs w:val="28"/>
        </w:rPr>
        <w:t>80</w:t>
      </w:r>
      <w:r w:rsidRPr="009C3A45">
        <w:rPr>
          <w:rFonts w:ascii="Times New Roman" w:eastAsia="Times New Roman" w:hAnsi="Times New Roman"/>
          <w:bCs/>
          <w:sz w:val="28"/>
          <w:szCs w:val="28"/>
        </w:rPr>
        <w:t>-</w:t>
      </w:r>
      <w:r w:rsidRPr="009C3A4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9C3A45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867A44" w:rsidRPr="00867A44" w:rsidRDefault="00867A44" w:rsidP="00867A4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DE1AB9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CC5FD3">
        <w:rPr>
          <w:rFonts w:ascii="Times New Roman" w:hAnsi="Times New Roman"/>
          <w:b/>
          <w:sz w:val="28"/>
          <w:szCs w:val="28"/>
          <w:lang w:eastAsia="ar-SA"/>
        </w:rPr>
        <w:t xml:space="preserve">громадянину </w:t>
      </w:r>
      <w:r w:rsidR="007B29E5">
        <w:rPr>
          <w:rFonts w:ascii="Times New Roman" w:hAnsi="Times New Roman"/>
          <w:b/>
          <w:sz w:val="28"/>
          <w:szCs w:val="28"/>
          <w:lang w:eastAsia="ar-SA"/>
        </w:rPr>
        <w:t>Петрусенку Сергію Володимировичу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Розглянувши клопотання громадянина</w:t>
      </w:r>
      <w:r w:rsidR="004A3E04"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7B29E5">
        <w:rPr>
          <w:rFonts w:ascii="Times New Roman" w:eastAsia="MS Mincho" w:hAnsi="Times New Roman"/>
          <w:sz w:val="28"/>
          <w:szCs w:val="28"/>
          <w:lang w:eastAsia="ar-SA"/>
        </w:rPr>
        <w:t xml:space="preserve">Петрусенка Сергія Володимировича, РНОКПП </w:t>
      </w:r>
      <w:r w:rsidR="00107578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Pr="00040FA4">
        <w:rPr>
          <w:rFonts w:ascii="Times New Roman" w:eastAsia="MS Mincho" w:hAnsi="Times New Roman"/>
          <w:sz w:val="28"/>
          <w:szCs w:val="28"/>
          <w:lang w:eastAsia="ar-SA"/>
        </w:rPr>
        <w:t>м</w:t>
      </w:r>
      <w:r w:rsidR="008D691E">
        <w:rPr>
          <w:rFonts w:ascii="Times New Roman" w:eastAsia="MS Mincho" w:hAnsi="Times New Roman"/>
          <w:sz w:val="28"/>
          <w:szCs w:val="28"/>
          <w:lang w:eastAsia="ar-SA"/>
        </w:rPr>
        <w:t>об</w:t>
      </w:r>
      <w:proofErr w:type="spellEnd"/>
      <w:r w:rsidR="008D691E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107578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107578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107578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щодо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сільськогосподарського виробництва та передачу її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BE3126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законами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4310B9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834BC8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в натурі (на місцевості) </w:t>
      </w:r>
      <w:r w:rsidR="005A6978">
        <w:rPr>
          <w:rFonts w:ascii="Times New Roman" w:hAnsi="Times New Roman"/>
          <w:sz w:val="28"/>
          <w:szCs w:val="28"/>
          <w:lang w:eastAsia="ar-SA"/>
        </w:rPr>
        <w:t>громадянину</w:t>
      </w:r>
      <w:r w:rsidR="005A6978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A6978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Петрусенку Сергію Володимировичу </w:t>
      </w:r>
      <w:r w:rsidRPr="00BB28C4">
        <w:rPr>
          <w:rFonts w:ascii="Times New Roman" w:hAnsi="Times New Roman"/>
          <w:sz w:val="28"/>
          <w:szCs w:val="28"/>
          <w:lang w:eastAsia="ar-SA"/>
        </w:rPr>
        <w:t>для ведення товарного сільськогосподарського виробництва</w:t>
      </w:r>
      <w:r w:rsidR="005A6978">
        <w:rPr>
          <w:rFonts w:ascii="Times New Roman" w:hAnsi="Times New Roman"/>
          <w:sz w:val="28"/>
          <w:szCs w:val="28"/>
          <w:lang w:eastAsia="ar-SA"/>
        </w:rPr>
        <w:t>,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A6978">
        <w:rPr>
          <w:rFonts w:ascii="Times New Roman" w:hAnsi="Times New Roman"/>
          <w:sz w:val="28"/>
          <w:szCs w:val="28"/>
          <w:lang w:eastAsia="ar-SA"/>
        </w:rPr>
        <w:t xml:space="preserve">розташованої 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>за адресою:</w:t>
      </w:r>
      <w:r w:rsidR="00EB7014" w:rsidRPr="009152AE">
        <w:rPr>
          <w:rFonts w:ascii="Times New Roman" w:hAnsi="Times New Roman"/>
          <w:sz w:val="28"/>
          <w:szCs w:val="28"/>
          <w:lang w:eastAsia="ar-SA"/>
        </w:rPr>
        <w:t xml:space="preserve"> Одеська область, Поділ</w:t>
      </w:r>
      <w:r w:rsidR="006C4A27" w:rsidRPr="009152AE">
        <w:rPr>
          <w:rFonts w:ascii="Times New Roman" w:hAnsi="Times New Roman"/>
          <w:sz w:val="28"/>
          <w:szCs w:val="28"/>
          <w:lang w:eastAsia="ar-SA"/>
        </w:rPr>
        <w:t>ьськ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 xml:space="preserve">ий </w:t>
      </w:r>
      <w:r w:rsidR="005A6978">
        <w:rPr>
          <w:rFonts w:ascii="Times New Roman" w:hAnsi="Times New Roman"/>
          <w:sz w:val="28"/>
          <w:szCs w:val="28"/>
          <w:lang w:eastAsia="ar-SA"/>
        </w:rPr>
        <w:t>район, Ананьївська міська рада.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701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 xml:space="preserve">адянину </w:t>
      </w:r>
      <w:r w:rsidR="00882AC6">
        <w:rPr>
          <w:rFonts w:ascii="Times New Roman" w:hAnsi="Times New Roman"/>
          <w:sz w:val="28"/>
          <w:szCs w:val="28"/>
          <w:lang w:eastAsia="ar-SA"/>
        </w:rPr>
        <w:t>Петрусенку Сергію Володимировичу</w:t>
      </w:r>
      <w:r w:rsidR="0079407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82AC6">
        <w:rPr>
          <w:rFonts w:ascii="Times New Roman" w:hAnsi="Times New Roman"/>
          <w:sz w:val="28"/>
          <w:szCs w:val="28"/>
          <w:lang w:eastAsia="ar-SA"/>
        </w:rPr>
        <w:t>кадастровий номер 51202828</w:t>
      </w:r>
      <w:r w:rsidR="00794074">
        <w:rPr>
          <w:rFonts w:ascii="Times New Roman" w:hAnsi="Times New Roman"/>
          <w:sz w:val="28"/>
          <w:szCs w:val="28"/>
          <w:lang w:eastAsia="ar-SA"/>
        </w:rPr>
        <w:t>00:01:00</w:t>
      </w:r>
      <w:r w:rsidR="00882AC6">
        <w:rPr>
          <w:rFonts w:ascii="Times New Roman" w:hAnsi="Times New Roman"/>
          <w:sz w:val="28"/>
          <w:szCs w:val="28"/>
          <w:lang w:eastAsia="ar-SA"/>
        </w:rPr>
        <w:t>2:0093</w:t>
      </w:r>
      <w:r w:rsidR="006D3F44">
        <w:rPr>
          <w:rFonts w:ascii="Times New Roman" w:hAnsi="Times New Roman"/>
          <w:sz w:val="28"/>
          <w:szCs w:val="28"/>
          <w:lang w:eastAsia="ar-SA"/>
        </w:rPr>
        <w:t xml:space="preserve"> площею</w:t>
      </w:r>
      <w:r w:rsidR="00882AC6">
        <w:rPr>
          <w:rFonts w:ascii="Times New Roman" w:hAnsi="Times New Roman"/>
          <w:sz w:val="28"/>
          <w:szCs w:val="28"/>
          <w:lang w:eastAsia="ar-SA"/>
        </w:rPr>
        <w:t xml:space="preserve"> 3,3222</w:t>
      </w:r>
      <w:r w:rsidR="005B5FFC">
        <w:rPr>
          <w:rFonts w:ascii="Times New Roman" w:hAnsi="Times New Roman"/>
          <w:sz w:val="28"/>
          <w:szCs w:val="28"/>
          <w:lang w:eastAsia="ar-SA"/>
        </w:rPr>
        <w:t xml:space="preserve"> га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EB701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Поділ</w:t>
      </w:r>
      <w:r w:rsidR="00EB7014">
        <w:rPr>
          <w:rFonts w:ascii="Times New Roman" w:hAnsi="Times New Roman"/>
          <w:sz w:val="28"/>
          <w:szCs w:val="28"/>
          <w:lang w:eastAsia="ar-SA"/>
        </w:rPr>
        <w:t>ьського району Одеської області.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A6978" w:rsidRPr="005A6978">
        <w:rPr>
          <w:rFonts w:ascii="Times New Roman" w:hAnsi="Times New Roman"/>
          <w:sz w:val="28"/>
          <w:szCs w:val="28"/>
          <w:lang w:eastAsia="ar-SA"/>
        </w:rPr>
        <w:t xml:space="preserve">громадянину Петрусенку Сергію Володимировичу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967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громадя</w:t>
      </w:r>
      <w:r w:rsidR="008F6FDD">
        <w:rPr>
          <w:rFonts w:ascii="Times New Roman" w:eastAsia="Times New Roman" w:hAnsi="Times New Roman"/>
          <w:sz w:val="28"/>
          <w:szCs w:val="28"/>
          <w:lang w:eastAsia="ru-RU"/>
        </w:rPr>
        <w:t xml:space="preserve">нина </w:t>
      </w:r>
      <w:r w:rsidR="005A6978">
        <w:rPr>
          <w:rFonts w:ascii="Times New Roman" w:eastAsia="Times New Roman" w:hAnsi="Times New Roman"/>
          <w:sz w:val="28"/>
          <w:szCs w:val="28"/>
          <w:lang w:eastAsia="ru-RU"/>
        </w:rPr>
        <w:t>Петрусенка Сергія Володимировича</w:t>
      </w:r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A3A7E" w:rsidRPr="00DA3A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r w:rsidR="00703A03" w:rsidRPr="00703A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Петрусенка Сергія Володимировича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4D97" w:rsidRPr="00944D97" w:rsidRDefault="00944D97" w:rsidP="00944D97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944D97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944D9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944D97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944D97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B45F6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Pr="00944D97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E7392B" w:rsidRPr="00944D97" w:rsidRDefault="00107578" w:rsidP="00381BEF">
      <w:pPr>
        <w:spacing w:after="0" w:line="240" w:lineRule="auto"/>
        <w:jc w:val="both"/>
        <w:rPr>
          <w:rFonts w:ascii="Times New Roman" w:hAnsi="Times New Roman"/>
        </w:rPr>
      </w:pPr>
    </w:p>
    <w:sectPr w:rsidR="00E7392B" w:rsidRPr="00944D97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7FDB"/>
    <w:rsid w:val="00064F72"/>
    <w:rsid w:val="0006516C"/>
    <w:rsid w:val="00077A63"/>
    <w:rsid w:val="00090FE9"/>
    <w:rsid w:val="000A6C96"/>
    <w:rsid w:val="000F54BA"/>
    <w:rsid w:val="000F5FAC"/>
    <w:rsid w:val="001013EF"/>
    <w:rsid w:val="00107578"/>
    <w:rsid w:val="00110E04"/>
    <w:rsid w:val="001124E1"/>
    <w:rsid w:val="0012048C"/>
    <w:rsid w:val="0012293D"/>
    <w:rsid w:val="00125B74"/>
    <w:rsid w:val="00135693"/>
    <w:rsid w:val="00172B59"/>
    <w:rsid w:val="00183685"/>
    <w:rsid w:val="00196F76"/>
    <w:rsid w:val="001A10D5"/>
    <w:rsid w:val="001F2043"/>
    <w:rsid w:val="002354BD"/>
    <w:rsid w:val="00256B15"/>
    <w:rsid w:val="00296E79"/>
    <w:rsid w:val="002A3271"/>
    <w:rsid w:val="002A64A5"/>
    <w:rsid w:val="002C1945"/>
    <w:rsid w:val="002C5FC8"/>
    <w:rsid w:val="002F4175"/>
    <w:rsid w:val="00303ED0"/>
    <w:rsid w:val="00317221"/>
    <w:rsid w:val="0034310C"/>
    <w:rsid w:val="003434B0"/>
    <w:rsid w:val="00345C12"/>
    <w:rsid w:val="003473ED"/>
    <w:rsid w:val="00381BEF"/>
    <w:rsid w:val="003B4AA1"/>
    <w:rsid w:val="003C7AF1"/>
    <w:rsid w:val="003D72E4"/>
    <w:rsid w:val="003F2CFF"/>
    <w:rsid w:val="00410B58"/>
    <w:rsid w:val="00416186"/>
    <w:rsid w:val="004178D4"/>
    <w:rsid w:val="00421488"/>
    <w:rsid w:val="004310B9"/>
    <w:rsid w:val="00454639"/>
    <w:rsid w:val="00486332"/>
    <w:rsid w:val="004A1257"/>
    <w:rsid w:val="004A3E04"/>
    <w:rsid w:val="004A5A81"/>
    <w:rsid w:val="004E6A70"/>
    <w:rsid w:val="004F48CC"/>
    <w:rsid w:val="005259A3"/>
    <w:rsid w:val="00527419"/>
    <w:rsid w:val="0056189D"/>
    <w:rsid w:val="00571FA4"/>
    <w:rsid w:val="005A6978"/>
    <w:rsid w:val="005B5FFC"/>
    <w:rsid w:val="00605D75"/>
    <w:rsid w:val="00622F8A"/>
    <w:rsid w:val="0064758C"/>
    <w:rsid w:val="00685A16"/>
    <w:rsid w:val="006A1E83"/>
    <w:rsid w:val="006B49FB"/>
    <w:rsid w:val="006C0F3D"/>
    <w:rsid w:val="006C3173"/>
    <w:rsid w:val="006C4A27"/>
    <w:rsid w:val="006D3F44"/>
    <w:rsid w:val="00703A03"/>
    <w:rsid w:val="0071091D"/>
    <w:rsid w:val="0072118B"/>
    <w:rsid w:val="0075650F"/>
    <w:rsid w:val="00784996"/>
    <w:rsid w:val="00794074"/>
    <w:rsid w:val="007B29E5"/>
    <w:rsid w:val="007F2D98"/>
    <w:rsid w:val="00834BC8"/>
    <w:rsid w:val="0084368E"/>
    <w:rsid w:val="00864F79"/>
    <w:rsid w:val="00867A44"/>
    <w:rsid w:val="00882AC6"/>
    <w:rsid w:val="008D691E"/>
    <w:rsid w:val="008E3316"/>
    <w:rsid w:val="008F6FDD"/>
    <w:rsid w:val="0091500F"/>
    <w:rsid w:val="009152AE"/>
    <w:rsid w:val="009221F6"/>
    <w:rsid w:val="009335E4"/>
    <w:rsid w:val="00944D97"/>
    <w:rsid w:val="00951C4B"/>
    <w:rsid w:val="00964688"/>
    <w:rsid w:val="00967400"/>
    <w:rsid w:val="009C3A45"/>
    <w:rsid w:val="009E60E9"/>
    <w:rsid w:val="00A02C3E"/>
    <w:rsid w:val="00A67BB5"/>
    <w:rsid w:val="00A735EF"/>
    <w:rsid w:val="00AB0A61"/>
    <w:rsid w:val="00AC3658"/>
    <w:rsid w:val="00B32486"/>
    <w:rsid w:val="00B45F60"/>
    <w:rsid w:val="00B60790"/>
    <w:rsid w:val="00B71F83"/>
    <w:rsid w:val="00B928F1"/>
    <w:rsid w:val="00B9495A"/>
    <w:rsid w:val="00BB28C4"/>
    <w:rsid w:val="00BE1893"/>
    <w:rsid w:val="00BE3126"/>
    <w:rsid w:val="00BF69FF"/>
    <w:rsid w:val="00C052FB"/>
    <w:rsid w:val="00C53015"/>
    <w:rsid w:val="00CC5FD3"/>
    <w:rsid w:val="00D04B17"/>
    <w:rsid w:val="00D1711D"/>
    <w:rsid w:val="00D2073D"/>
    <w:rsid w:val="00D354C0"/>
    <w:rsid w:val="00D54D27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757B"/>
    <w:rsid w:val="00EB7014"/>
    <w:rsid w:val="00EC3A31"/>
    <w:rsid w:val="00ED5EC7"/>
    <w:rsid w:val="00EF7503"/>
    <w:rsid w:val="00F138C5"/>
    <w:rsid w:val="00F30FED"/>
    <w:rsid w:val="00F328AC"/>
    <w:rsid w:val="00F41CCA"/>
    <w:rsid w:val="00F41D9A"/>
    <w:rsid w:val="00F72DB8"/>
    <w:rsid w:val="00F82E02"/>
    <w:rsid w:val="00F8337F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2024-12-24T10:02:00Z</cp:lastPrinted>
  <dcterms:created xsi:type="dcterms:W3CDTF">2024-11-13T06:28:00Z</dcterms:created>
  <dcterms:modified xsi:type="dcterms:W3CDTF">2024-12-27T08:55:00Z</dcterms:modified>
</cp:coreProperties>
</file>