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23" w:rsidRPr="00796F23" w:rsidRDefault="00796F23" w:rsidP="00796F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96F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BA2F61" wp14:editId="30B8A775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23" w:rsidRPr="00796F23" w:rsidRDefault="00796F23" w:rsidP="00796F2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96F2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96F23" w:rsidRPr="00796F23" w:rsidRDefault="00796F23" w:rsidP="00796F2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96F2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96F2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96F23" w:rsidRPr="00796F23" w:rsidRDefault="00796F23" w:rsidP="00796F2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6F2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96F23" w:rsidRPr="00796F23" w:rsidRDefault="00796F23" w:rsidP="00796F2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96F23" w:rsidRPr="00796F23" w:rsidRDefault="00796F23" w:rsidP="00796F23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96F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796F23">
        <w:rPr>
          <w:rFonts w:ascii="Times New Roman" w:eastAsia="Times New Roman" w:hAnsi="Times New Roman"/>
          <w:bCs/>
          <w:sz w:val="28"/>
          <w:szCs w:val="28"/>
          <w:lang w:eastAsia="ar-SA"/>
        </w:rPr>
        <w:t>грудня</w:t>
      </w:r>
      <w:proofErr w:type="spellEnd"/>
      <w:r w:rsidRPr="00796F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96F23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796F23">
        <w:rPr>
          <w:rFonts w:ascii="Times New Roman" w:eastAsia="Times New Roman" w:hAnsi="Times New Roman"/>
          <w:bCs/>
          <w:sz w:val="28"/>
          <w:szCs w:val="28"/>
        </w:rPr>
        <w:tab/>
      </w:r>
      <w:r w:rsidRPr="00796F23">
        <w:rPr>
          <w:rFonts w:ascii="Times New Roman" w:eastAsia="Times New Roman" w:hAnsi="Times New Roman"/>
          <w:bCs/>
          <w:sz w:val="28"/>
          <w:szCs w:val="28"/>
        </w:rPr>
        <w:tab/>
      </w:r>
      <w:r w:rsidRPr="00796F23">
        <w:rPr>
          <w:rFonts w:ascii="Times New Roman" w:eastAsia="Times New Roman" w:hAnsi="Times New Roman"/>
          <w:bCs/>
          <w:sz w:val="28"/>
          <w:szCs w:val="28"/>
        </w:rPr>
        <w:tab/>
      </w:r>
      <w:r w:rsidRPr="00796F23">
        <w:rPr>
          <w:rFonts w:ascii="Times New Roman" w:eastAsia="Times New Roman" w:hAnsi="Times New Roman"/>
          <w:bCs/>
          <w:sz w:val="28"/>
          <w:szCs w:val="28"/>
        </w:rPr>
        <w:tab/>
      </w:r>
      <w:r w:rsidRPr="00796F23">
        <w:rPr>
          <w:rFonts w:ascii="Times New Roman" w:eastAsia="Times New Roman" w:hAnsi="Times New Roman"/>
          <w:bCs/>
          <w:sz w:val="28"/>
          <w:szCs w:val="28"/>
        </w:rPr>
        <w:tab/>
      </w:r>
      <w:r w:rsidRPr="00796F23">
        <w:rPr>
          <w:rFonts w:ascii="Times New Roman" w:eastAsia="Times New Roman" w:hAnsi="Times New Roman"/>
          <w:bCs/>
          <w:sz w:val="28"/>
          <w:szCs w:val="28"/>
        </w:rPr>
        <w:tab/>
      </w:r>
      <w:r w:rsidRPr="00796F23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133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6</w:t>
      </w:r>
      <w:r w:rsidRPr="00796F23">
        <w:rPr>
          <w:rFonts w:ascii="Times New Roman" w:eastAsia="Times New Roman" w:hAnsi="Times New Roman"/>
          <w:bCs/>
          <w:sz w:val="28"/>
          <w:szCs w:val="28"/>
        </w:rPr>
        <w:t>-</w:t>
      </w:r>
      <w:r w:rsidRPr="00796F2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96F23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575B6F" w:rsidRPr="00796F23" w:rsidRDefault="00575B6F" w:rsidP="00D6180F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5597D" w:rsidRDefault="00575B6F" w:rsidP="00575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 xml:space="preserve">Про затвердження цільової Програми з енергоефективності та енергозбереження на території Ананьївської міської </w:t>
      </w:r>
    </w:p>
    <w:p w:rsidR="00575B6F" w:rsidRDefault="00575B6F" w:rsidP="00575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 xml:space="preserve">територіальної громади  </w:t>
      </w:r>
      <w:r w:rsidR="00483EAA">
        <w:rPr>
          <w:rFonts w:ascii="Times New Roman" w:hAnsi="Times New Roman"/>
          <w:b/>
          <w:sz w:val="28"/>
          <w:szCs w:val="28"/>
          <w:lang w:val="uk-UA" w:eastAsia="ru-RU"/>
        </w:rPr>
        <w:t>на 2025-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2026 роки</w:t>
      </w:r>
    </w:p>
    <w:p w:rsidR="00575B6F" w:rsidRDefault="00575B6F" w:rsidP="00575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75B6F" w:rsidRPr="00CD5602" w:rsidRDefault="00575B6F" w:rsidP="00230CE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5602">
        <w:rPr>
          <w:rFonts w:ascii="Times New Roman" w:hAnsi="Times New Roman"/>
          <w:sz w:val="28"/>
          <w:szCs w:val="28"/>
          <w:lang w:val="uk-UA"/>
        </w:rPr>
        <w:t xml:space="preserve">Відповідно до пункту 22 частини першої статті 26 Закону України «Про місцеве самоврядування в Україні», законів України «Про енергозбереження», «Про енергетичну ефективність будівель», </w:t>
      </w:r>
      <w:bookmarkStart w:id="0" w:name="n3"/>
      <w:bookmarkEnd w:id="0"/>
      <w:r w:rsidRPr="00CD5602">
        <w:rPr>
          <w:rFonts w:ascii="Times New Roman" w:hAnsi="Times New Roman"/>
          <w:sz w:val="28"/>
          <w:szCs w:val="28"/>
          <w:lang w:val="uk-UA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</w:t>
      </w:r>
      <w:r w:rsidRPr="00CC414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96F23" w:rsidRPr="00CC4144">
        <w:rPr>
          <w:rFonts w:ascii="Times New Roman" w:hAnsi="Times New Roman"/>
          <w:sz w:val="28"/>
          <w:szCs w:val="28"/>
          <w:lang w:val="uk-UA"/>
        </w:rPr>
        <w:t>19</w:t>
      </w:r>
      <w:r w:rsidRPr="00CC4144">
        <w:rPr>
          <w:rFonts w:ascii="Times New Roman" w:hAnsi="Times New Roman"/>
          <w:sz w:val="28"/>
          <w:szCs w:val="28"/>
          <w:lang w:val="uk-UA"/>
        </w:rPr>
        <w:t xml:space="preserve"> грудня 2024 року №</w:t>
      </w:r>
      <w:r w:rsidR="00CC4144" w:rsidRPr="00CC4144">
        <w:rPr>
          <w:rFonts w:ascii="Times New Roman" w:hAnsi="Times New Roman"/>
          <w:sz w:val="28"/>
          <w:szCs w:val="28"/>
          <w:lang w:val="uk-UA"/>
        </w:rPr>
        <w:t>395</w:t>
      </w:r>
      <w:r w:rsidR="00D6180F" w:rsidRPr="00CC41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5602">
        <w:rPr>
          <w:rFonts w:ascii="Times New Roman" w:hAnsi="Times New Roman"/>
          <w:sz w:val="28"/>
          <w:szCs w:val="28"/>
          <w:lang w:val="uk-UA"/>
        </w:rPr>
        <w:t xml:space="preserve">«Про схвалення </w:t>
      </w:r>
      <w:proofErr w:type="spellStart"/>
      <w:r w:rsidRPr="00CD560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D5602">
        <w:rPr>
          <w:rFonts w:ascii="Times New Roman" w:hAnsi="Times New Roman"/>
          <w:sz w:val="28"/>
          <w:szCs w:val="28"/>
          <w:lang w:val="uk-UA"/>
        </w:rPr>
        <w:t xml:space="preserve"> рішення Ананьївської міської ради «Про затвердження цільової Програми з енергоефективності та енергозбереження на  території Ананьївської міської</w:t>
      </w:r>
      <w:r w:rsidR="00D6180F" w:rsidRPr="00CD560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2025-</w:t>
      </w:r>
      <w:r w:rsidRPr="00CD5602">
        <w:rPr>
          <w:rFonts w:ascii="Times New Roman" w:hAnsi="Times New Roman"/>
          <w:sz w:val="28"/>
          <w:szCs w:val="28"/>
          <w:lang w:val="uk-UA"/>
        </w:rPr>
        <w:t>2026 роки», висновки та рекомендації постійних комісій Ананьївської міської ради з питань комунальної власності, житлово-комунального господарства, енергозбереження та транспорту та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75B6F" w:rsidRPr="00D6180F" w:rsidRDefault="00575B6F" w:rsidP="00575B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75B6F" w:rsidRPr="00D6180F" w:rsidRDefault="00575B6F" w:rsidP="00575B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75B6F" w:rsidRPr="00D6180F" w:rsidRDefault="00575B6F" w:rsidP="00D6180F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6180F">
        <w:rPr>
          <w:rFonts w:ascii="Times New Roman" w:hAnsi="Times New Roman"/>
          <w:sz w:val="28"/>
          <w:szCs w:val="28"/>
          <w:lang w:val="uk-UA" w:eastAsia="ru-RU"/>
        </w:rPr>
        <w:t>1. Затвердити цільову Програму з енергоефективності та енергозбереження на території Ананьївської міської територіальної громади на 2025</w:t>
      </w:r>
      <w:r w:rsidR="00D6180F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D6180F">
        <w:rPr>
          <w:rFonts w:ascii="Times New Roman" w:hAnsi="Times New Roman"/>
          <w:sz w:val="28"/>
          <w:szCs w:val="28"/>
          <w:lang w:val="uk-UA" w:eastAsia="ru-RU"/>
        </w:rPr>
        <w:t>2026 роки (додається).</w:t>
      </w:r>
    </w:p>
    <w:p w:rsidR="00575B6F" w:rsidRPr="00D6180F" w:rsidRDefault="00575B6F" w:rsidP="00D6180F">
      <w:pPr>
        <w:pStyle w:val="a6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6180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Фінансовому управлінню Ананьївської міської ради передбачати кошти для фінансування Програми під час підготовки </w:t>
      </w:r>
      <w:proofErr w:type="spellStart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проєктів</w:t>
      </w:r>
      <w:proofErr w:type="spellEnd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рішень про бюджет Ананьївської міської територіальної громади на відповідний рік та </w:t>
      </w:r>
      <w:proofErr w:type="spellStart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проєктів</w:t>
      </w:r>
      <w:proofErr w:type="spellEnd"/>
      <w:r w:rsidRPr="00D618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рішень про внесення змін до бюджету Ананьївської міської територіальної громади.</w:t>
      </w:r>
    </w:p>
    <w:p w:rsidR="00575B6F" w:rsidRPr="00D6180F" w:rsidRDefault="00575B6F" w:rsidP="00D6180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6180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 Контроль за виконанням цього рішення покласти на постійну комісію </w:t>
      </w:r>
      <w:r w:rsidRPr="00D6180F"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75B6F" w:rsidRDefault="00575B6F" w:rsidP="00575B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066E3" w:rsidRPr="00A066E3" w:rsidRDefault="00A066E3" w:rsidP="00A066E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A066E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565CF0" w:rsidRDefault="00565CF0" w:rsidP="00575B6F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/>
          <w:bCs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/>
          <w:bCs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val="uk-UA" w:eastAsia="uk-UA" w:bidi="uk-UA"/>
        </w:rPr>
        <w:lastRenderedPageBreak/>
        <w:t>ЗАТВЕРДЖЕНО</w:t>
      </w:r>
    </w:p>
    <w:p w:rsidR="00575B6F" w:rsidRDefault="00575B6F" w:rsidP="00575B6F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>рішення Ананьївської міської ради</w:t>
      </w:r>
    </w:p>
    <w:p w:rsidR="00575B6F" w:rsidRDefault="00575B6F" w:rsidP="00575B6F">
      <w:pPr>
        <w:widowControl w:val="0"/>
        <w:spacing w:after="0" w:line="240" w:lineRule="auto"/>
        <w:ind w:left="6237" w:hanging="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від </w:t>
      </w:r>
      <w:r w:rsidR="00796F23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20</w:t>
      </w:r>
      <w:r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 грудня 2024 року     </w:t>
      </w:r>
      <w:r w:rsidR="00796F23" w:rsidRPr="00CC4144">
        <w:rPr>
          <w:rFonts w:ascii="Times New Roman" w:eastAsia="Times New Roman" w:hAnsi="Times New Roman"/>
          <w:bCs/>
          <w:sz w:val="28"/>
          <w:szCs w:val="28"/>
          <w:lang w:val="uk-UA"/>
        </w:rPr>
        <w:t>№ 133</w:t>
      </w:r>
      <w:r w:rsidR="00796F23">
        <w:rPr>
          <w:rFonts w:ascii="Times New Roman" w:eastAsia="Times New Roman" w:hAnsi="Times New Roman"/>
          <w:bCs/>
          <w:sz w:val="28"/>
          <w:szCs w:val="28"/>
          <w:lang w:val="uk-UA"/>
        </w:rPr>
        <w:t>6</w:t>
      </w:r>
      <w:r w:rsidR="00796F23" w:rsidRPr="00CC4144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="00796F23" w:rsidRPr="00796F2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="00796F23" w:rsidRPr="00CC4144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575B6F" w:rsidRDefault="00575B6F" w:rsidP="00575B6F">
      <w:pPr>
        <w:widowControl w:val="0"/>
        <w:spacing w:after="0" w:line="240" w:lineRule="auto"/>
        <w:ind w:left="6237" w:hanging="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6F" w:rsidRDefault="00575B6F" w:rsidP="00575B6F">
      <w:pPr>
        <w:widowControl w:val="0"/>
        <w:spacing w:after="0" w:line="240" w:lineRule="auto"/>
        <w:ind w:left="6237" w:hanging="27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Цільова Програма </w:t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з енергоефективності та енергозбереження </w:t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на території Ананьївської міської </w:t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 xml:space="preserve">територіальної громади </w:t>
      </w:r>
    </w:p>
    <w:p w:rsidR="00575B6F" w:rsidRDefault="009D5B73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36"/>
          <w:szCs w:val="36"/>
          <w:lang w:val="en-US" w:eastAsia="ru-RU"/>
        </w:rPr>
      </w:pPr>
      <w:r>
        <w:rPr>
          <w:rFonts w:ascii="Times New Roman" w:hAnsi="Times New Roman"/>
          <w:b/>
          <w:bCs/>
          <w:sz w:val="36"/>
          <w:szCs w:val="36"/>
          <w:lang w:val="uk-UA" w:eastAsia="ru-RU"/>
        </w:rPr>
        <w:t>на 2025–</w:t>
      </w:r>
      <w:r w:rsidR="00575B6F">
        <w:rPr>
          <w:rFonts w:ascii="Times New Roman" w:hAnsi="Times New Roman"/>
          <w:b/>
          <w:bCs/>
          <w:sz w:val="36"/>
          <w:szCs w:val="36"/>
          <w:lang w:val="uk-UA" w:eastAsia="ru-RU"/>
        </w:rPr>
        <w:t>2026 роки</w:t>
      </w:r>
    </w:p>
    <w:p w:rsidR="00575B6F" w:rsidRDefault="00575B6F" w:rsidP="00575B6F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color w:val="FF0000"/>
          <w:sz w:val="28"/>
          <w:szCs w:val="28"/>
          <w:lang w:val="uk-UA" w:eastAsia="uk-UA" w:bidi="uk-UA"/>
        </w:rPr>
      </w:pP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br w:type="page"/>
      </w:r>
    </w:p>
    <w:p w:rsidR="00575B6F" w:rsidRDefault="00575B6F" w:rsidP="00575B6F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1. ПАСПОРТ ПРОГРАМИ</w:t>
      </w:r>
    </w:p>
    <w:p w:rsidR="00575B6F" w:rsidRDefault="00575B6F" w:rsidP="00575B6F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26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453"/>
        <w:gridCol w:w="6225"/>
      </w:tblGrid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75B6F" w:rsidRPr="00CC4144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CC414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 xml:space="preserve">Від  </w:t>
            </w:r>
            <w:r w:rsidR="00796F23"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>19</w:t>
            </w:r>
            <w:r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 xml:space="preserve">  грудня  </w:t>
            </w:r>
            <w:r w:rsidRPr="00CC4144"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 xml:space="preserve">2024 року </w:t>
            </w:r>
            <w:r w:rsidRPr="00CC41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  <w:r w:rsidR="00CC4144" w:rsidRPr="00CC41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395</w:t>
            </w:r>
            <w:r w:rsidRPr="00CC4144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«Про схвалення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рішення Ананьївської міської ради «Про затвердження цільової Програми з енергоефективності та енергозбереження  на території Ананьївської міської</w:t>
            </w:r>
            <w:r w:rsidR="00230CE8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територіальної громади на 2025-</w:t>
            </w: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2026 роки»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Розробник Програми </w:t>
            </w:r>
          </w:p>
          <w:p w:rsidR="00575B6F" w:rsidRDefault="00575B6F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Програми (у разі наявності)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___</w:t>
            </w:r>
          </w:p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575B6F" w:rsidRPr="00CC4144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Відповідальний виконавець Програми </w:t>
            </w:r>
          </w:p>
          <w:p w:rsidR="00575B6F" w:rsidRDefault="00575B6F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75B6F" w:rsidRPr="00CC4144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ind w:firstLine="171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Головний розпорядник коштів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575B6F" w:rsidTr="009D5B73">
        <w:trPr>
          <w:trHeight w:val="32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Учасники Програми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Балансоутримувачі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будівель, споруд, лінійних об’єктів 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Термін реалізації Програми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9D5B7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2025-</w:t>
            </w:r>
            <w:r w:rsidR="00575B6F">
              <w:rPr>
                <w:rFonts w:ascii="Times New Roman" w:hAnsi="Times New Roman"/>
                <w:sz w:val="27"/>
                <w:szCs w:val="27"/>
                <w:lang w:val="uk-UA" w:eastAsia="ru-RU"/>
              </w:rPr>
              <w:t>2026 роки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8.1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_____</w:t>
            </w:r>
          </w:p>
        </w:tc>
      </w:tr>
      <w:tr w:rsidR="00575B6F" w:rsidRPr="00CC4144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Бюджет Ананьївської міської територіальної громади</w:t>
            </w:r>
          </w:p>
        </w:tc>
      </w:tr>
      <w:tr w:rsidR="00575B6F" w:rsidTr="009D5B73">
        <w:trPr>
          <w:trHeight w:val="6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Pr="009D5B73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9D5B73">
              <w:rPr>
                <w:rFonts w:ascii="Times New Roman" w:hAnsi="Times New Roman"/>
                <w:bCs/>
                <w:sz w:val="27"/>
                <w:szCs w:val="27"/>
                <w:lang w:val="uk-UA" w:eastAsia="ru-RU"/>
              </w:rPr>
              <w:t>1 770,0</w:t>
            </w:r>
          </w:p>
        </w:tc>
      </w:tr>
      <w:tr w:rsidR="00575B6F" w:rsidTr="009D5B73">
        <w:trPr>
          <w:trHeight w:val="43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10.1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коштів  бюджету Ананьївської міської територіальної громади  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Pr="009D5B73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red"/>
                <w:lang w:val="uk-UA" w:eastAsia="ru-RU"/>
              </w:rPr>
            </w:pPr>
            <w:r w:rsidRPr="009D5B73">
              <w:rPr>
                <w:rFonts w:ascii="Times New Roman" w:hAnsi="Times New Roman"/>
                <w:sz w:val="27"/>
                <w:szCs w:val="27"/>
                <w:lang w:val="uk-UA" w:eastAsia="ru-RU"/>
              </w:rPr>
              <w:t>1 770,0</w:t>
            </w:r>
          </w:p>
        </w:tc>
      </w:tr>
      <w:tr w:rsidR="00575B6F" w:rsidTr="009D5B7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10.2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коштів інших джерел 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val="uk-UA" w:eastAsia="ru-RU"/>
              </w:rPr>
            </w:pPr>
            <w:r w:rsidRPr="009D5B73">
              <w:rPr>
                <w:rFonts w:ascii="Times New Roman" w:hAnsi="Times New Roman"/>
                <w:b/>
                <w:bCs/>
                <w:sz w:val="27"/>
                <w:szCs w:val="27"/>
                <w:lang w:val="uk-UA" w:eastAsia="ru-RU"/>
              </w:rPr>
              <w:t>-------</w:t>
            </w:r>
          </w:p>
        </w:tc>
      </w:tr>
    </w:tbl>
    <w:p w:rsidR="00575B6F" w:rsidRDefault="00575B6F" w:rsidP="00575B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rPr>
          <w:rFonts w:cs="Calibri"/>
          <w:lang w:val="uk-UA"/>
        </w:rPr>
      </w:pPr>
    </w:p>
    <w:p w:rsidR="009D5B73" w:rsidRDefault="009D5B73" w:rsidP="00575B6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5B6F" w:rsidRDefault="00575B6F" w:rsidP="009D5B7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2. Визначення проблеми, на розв’язання якої спрямована Програма</w:t>
      </w:r>
    </w:p>
    <w:p w:rsidR="009D5B73" w:rsidRPr="00FB0A89" w:rsidRDefault="009D5B73" w:rsidP="00230C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Питання підвищення енергоефективності та енергозбереження є особливо актуальним в умовах залежності економіки від імпорту паливно-енергетичних ресурсів і тенденцій до зростання вартості енергоносіїв.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 xml:space="preserve">Забезпечити зменшення обсягів споживання енергоресурсів комунальними установами можливо за допомогою реалізації заходів системного характеру та запровадження постійної системи управління енергоспоживанням, проведення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енергообстеження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для визначення ефективності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енерговикористання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і потенціалу енергозбереження, розроблення заходів з підвищення ефективності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енерговикористання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>, у тому числі шляхом використання відновлювальних джерел енергії.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Враховуючи важливість питання раціонального та ефективного споживання енергоносіїв, скорочення споживання природного газу</w:t>
      </w:r>
      <w:r w:rsidR="005874A3">
        <w:rPr>
          <w:rFonts w:ascii="Times New Roman" w:hAnsi="Times New Roman"/>
          <w:sz w:val="28"/>
          <w:szCs w:val="28"/>
          <w:lang w:val="uk-UA"/>
        </w:rPr>
        <w:t>,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          виникла необхідність розробки програми підвищення енергоефективності, енергозбереження та розвитку відновлюваної енергетики.</w:t>
      </w:r>
    </w:p>
    <w:p w:rsidR="00613C7C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На сучасному етапі розвитку територіальних громад в умовах воєнного стану в Україні зростає вплив чинників, що спонукають до енергозбереження:</w:t>
      </w:r>
      <w:r w:rsidR="009D5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обмеженість фінансових ресурсів на впровадження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технологій та обладнання;</w:t>
      </w:r>
      <w:r w:rsidRPr="009D5B73">
        <w:rPr>
          <w:rFonts w:ascii="Times New Roman" w:hAnsi="Times New Roman"/>
          <w:sz w:val="28"/>
          <w:szCs w:val="28"/>
        </w:rPr>
        <w:t> </w:t>
      </w:r>
      <w:r w:rsidRPr="009D5B73">
        <w:rPr>
          <w:rFonts w:ascii="Times New Roman" w:hAnsi="Times New Roman"/>
          <w:sz w:val="28"/>
          <w:szCs w:val="28"/>
          <w:lang w:val="uk-UA"/>
        </w:rPr>
        <w:t>непрогнозоване зростання вартості енергоресурсів;</w:t>
      </w:r>
      <w:r w:rsidRPr="009D5B73">
        <w:rPr>
          <w:rFonts w:ascii="Times New Roman" w:hAnsi="Times New Roman"/>
          <w:sz w:val="28"/>
          <w:szCs w:val="28"/>
        </w:rPr>
        <w:t> 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фізичне та моральне старіння мереж системи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, водопостачання та водовідведення,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інженерних систем, низькі теплозахисні властивості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огороджуючих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конструкцій будівель;</w:t>
      </w:r>
      <w:r w:rsidRPr="009D5B73">
        <w:rPr>
          <w:rFonts w:ascii="Times New Roman" w:hAnsi="Times New Roman"/>
          <w:sz w:val="28"/>
          <w:szCs w:val="28"/>
        </w:rPr>
        <w:t> </w:t>
      </w:r>
      <w:r w:rsidRPr="009D5B73">
        <w:rPr>
          <w:rFonts w:ascii="Times New Roman" w:hAnsi="Times New Roman"/>
          <w:sz w:val="28"/>
          <w:szCs w:val="28"/>
          <w:lang w:val="uk-UA"/>
        </w:rPr>
        <w:t>нераціональне та неефективне використання паливно-енергетичних ресурсів різними категоріями спожива</w:t>
      </w:r>
      <w:r w:rsidR="00613C7C">
        <w:rPr>
          <w:rFonts w:ascii="Times New Roman" w:hAnsi="Times New Roman"/>
          <w:sz w:val="28"/>
          <w:szCs w:val="28"/>
          <w:lang w:val="uk-UA"/>
        </w:rPr>
        <w:t>чів, зокрема бюджетним сектором.</w:t>
      </w:r>
      <w:r w:rsidRPr="009D5B73">
        <w:rPr>
          <w:rFonts w:ascii="Times New Roman" w:hAnsi="Times New Roman"/>
          <w:sz w:val="28"/>
          <w:szCs w:val="28"/>
        </w:rPr>
        <w:t> 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 xml:space="preserve">Заклади бюджетної сфери є найбільш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енергоспоживчими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для бюджету Ананьївської  міської територіальної громади, оскільки основна маса енергоресурсів споживається будівлями соціального призначення. </w:t>
      </w:r>
      <w:proofErr w:type="spellStart"/>
      <w:r w:rsidRPr="009D5B73">
        <w:rPr>
          <w:rFonts w:ascii="Times New Roman" w:hAnsi="Times New Roman"/>
          <w:sz w:val="28"/>
          <w:szCs w:val="28"/>
        </w:rPr>
        <w:t>Значна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частина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цих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нераціонально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9D5B73">
        <w:rPr>
          <w:rFonts w:ascii="Times New Roman" w:hAnsi="Times New Roman"/>
          <w:sz w:val="28"/>
          <w:szCs w:val="28"/>
        </w:rPr>
        <w:t>застарілі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5B73">
        <w:rPr>
          <w:rFonts w:ascii="Times New Roman" w:hAnsi="Times New Roman"/>
          <w:sz w:val="28"/>
          <w:szCs w:val="28"/>
        </w:rPr>
        <w:t>низьку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якість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D5B73">
        <w:rPr>
          <w:rFonts w:ascii="Times New Roman" w:hAnsi="Times New Roman"/>
          <w:sz w:val="28"/>
          <w:szCs w:val="28"/>
        </w:rPr>
        <w:t>енергетичного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9D5B73">
        <w:rPr>
          <w:rFonts w:ascii="Times New Roman" w:hAnsi="Times New Roman"/>
          <w:sz w:val="28"/>
          <w:szCs w:val="28"/>
        </w:rPr>
        <w:t>.</w:t>
      </w:r>
    </w:p>
    <w:p w:rsidR="00575B6F" w:rsidRPr="009D5B73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 xml:space="preserve">У більшості будівлях бюджетної сфери зношені інженерні мережі та обладнання, спостерігається невідповідність санітарно-гігієнічним нормам – це ті фактори, що впливають на нераціональне використання енергетичних ресурсів закладами й установами і, як наслідок, постійне зростання споживання тепла, електроенергії, води, інших витрат на їх утримання. </w:t>
      </w:r>
      <w:proofErr w:type="spellStart"/>
      <w:r w:rsidRPr="009D5B7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енергозберігаючих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заході</w:t>
      </w:r>
      <w:proofErr w:type="gramStart"/>
      <w:r w:rsidRPr="009D5B7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D5B7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D5B73">
        <w:rPr>
          <w:rFonts w:ascii="Times New Roman" w:hAnsi="Times New Roman"/>
          <w:sz w:val="28"/>
          <w:szCs w:val="28"/>
        </w:rPr>
        <w:t>цій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галузі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D5B73">
        <w:rPr>
          <w:rFonts w:ascii="Times New Roman" w:hAnsi="Times New Roman"/>
          <w:sz w:val="28"/>
          <w:szCs w:val="28"/>
        </w:rPr>
        <w:t>надзвичайно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актуальним</w:t>
      </w:r>
      <w:proofErr w:type="spellEnd"/>
      <w:r w:rsidRPr="009D5B73">
        <w:rPr>
          <w:rFonts w:ascii="Times New Roman" w:hAnsi="Times New Roman"/>
          <w:sz w:val="28"/>
          <w:szCs w:val="28"/>
        </w:rPr>
        <w:t>.</w:t>
      </w:r>
    </w:p>
    <w:p w:rsidR="00575B6F" w:rsidRDefault="00575B6F" w:rsidP="009D5B73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  <w:lang w:val="uk-UA"/>
        </w:rPr>
        <w:t>Програма</w:t>
      </w:r>
      <w:r w:rsidR="00230CE8" w:rsidRPr="00230C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30CE8" w:rsidRPr="00D6180F">
        <w:rPr>
          <w:rFonts w:ascii="Times New Roman" w:hAnsi="Times New Roman"/>
          <w:sz w:val="28"/>
          <w:szCs w:val="28"/>
          <w:lang w:val="uk-UA" w:eastAsia="ru-RU"/>
        </w:rPr>
        <w:t>з енергоефективності та енергозбереження на території Ананьївської міської територіальної громади на 2025</w:t>
      </w:r>
      <w:r w:rsidR="00230CE8">
        <w:rPr>
          <w:rFonts w:ascii="Times New Roman" w:hAnsi="Times New Roman"/>
          <w:sz w:val="28"/>
          <w:szCs w:val="28"/>
          <w:lang w:val="uk-UA" w:eastAsia="ru-RU"/>
        </w:rPr>
        <w:t>-</w:t>
      </w:r>
      <w:r w:rsidR="00230CE8" w:rsidRPr="00D6180F">
        <w:rPr>
          <w:rFonts w:ascii="Times New Roman" w:hAnsi="Times New Roman"/>
          <w:sz w:val="28"/>
          <w:szCs w:val="28"/>
          <w:lang w:val="uk-UA" w:eastAsia="ru-RU"/>
        </w:rPr>
        <w:t>2026 роки</w:t>
      </w:r>
      <w:r w:rsidR="00230CE8">
        <w:rPr>
          <w:rFonts w:ascii="Times New Roman" w:hAnsi="Times New Roman"/>
          <w:sz w:val="28"/>
          <w:szCs w:val="28"/>
          <w:lang w:val="uk-UA" w:eastAsia="ru-RU"/>
        </w:rPr>
        <w:t xml:space="preserve"> (далі – Програма)</w:t>
      </w:r>
      <w:r w:rsidRPr="009D5B73">
        <w:rPr>
          <w:rFonts w:ascii="Times New Roman" w:hAnsi="Times New Roman"/>
          <w:sz w:val="28"/>
          <w:szCs w:val="28"/>
          <w:lang w:val="uk-UA"/>
        </w:rPr>
        <w:t xml:space="preserve"> розвиває, поглиблює та конкретизує основні напрямки енергозбереження, включаючи, як стратегічні питання енергозбереження, так і першочергові </w:t>
      </w:r>
      <w:proofErr w:type="spellStart"/>
      <w:r w:rsidRPr="009D5B73">
        <w:rPr>
          <w:rFonts w:ascii="Times New Roman" w:hAnsi="Times New Roman"/>
          <w:sz w:val="28"/>
          <w:szCs w:val="28"/>
          <w:lang w:val="uk-UA"/>
        </w:rPr>
        <w:t>маловитратні</w:t>
      </w:r>
      <w:proofErr w:type="spellEnd"/>
      <w:r w:rsidRPr="009D5B73">
        <w:rPr>
          <w:rFonts w:ascii="Times New Roman" w:hAnsi="Times New Roman"/>
          <w:sz w:val="28"/>
          <w:szCs w:val="28"/>
          <w:lang w:val="uk-UA"/>
        </w:rPr>
        <w:t xml:space="preserve"> заходи з урахуванням сучасних умов та перспектив економічного розвитку Ананьївської міської територіальної громади.</w:t>
      </w:r>
    </w:p>
    <w:p w:rsidR="001F2332" w:rsidRDefault="001F2332" w:rsidP="001F2332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5B73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D5B73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D5B73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можуть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B73">
        <w:rPr>
          <w:rFonts w:ascii="Times New Roman" w:hAnsi="Times New Roman"/>
          <w:sz w:val="28"/>
          <w:szCs w:val="28"/>
        </w:rPr>
        <w:t>бути</w:t>
      </w:r>
      <w:proofErr w:type="gram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внесені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B73">
        <w:rPr>
          <w:rFonts w:ascii="Times New Roman" w:hAnsi="Times New Roman"/>
          <w:sz w:val="28"/>
          <w:szCs w:val="28"/>
        </w:rPr>
        <w:t>зміни</w:t>
      </w:r>
      <w:proofErr w:type="spellEnd"/>
      <w:r w:rsidRPr="009D5B7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D5B73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9D5B73">
        <w:rPr>
          <w:rFonts w:ascii="Times New Roman" w:hAnsi="Times New Roman"/>
          <w:sz w:val="28"/>
          <w:szCs w:val="28"/>
        </w:rPr>
        <w:t>.</w:t>
      </w:r>
    </w:p>
    <w:p w:rsidR="00B5149D" w:rsidRDefault="00B5149D" w:rsidP="001F2332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D35" w:rsidRPr="00B5149D" w:rsidRDefault="00736D35" w:rsidP="001F2332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6F" w:rsidRDefault="00575B6F" w:rsidP="00575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3. Визначення мети та завдання Програми</w:t>
      </w:r>
    </w:p>
    <w:p w:rsidR="00575B6F" w:rsidRPr="00486FA3" w:rsidRDefault="00575B6F" w:rsidP="009D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 xml:space="preserve">Мета Програми – підвищення енергонезалежності об’єктів за умови впровадження енергозберігаючих заходів на діючому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енергообладнанні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>, залучення відновлювальних енергоресурсів.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color w:val="414042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 xml:space="preserve">Скорочення використання традиційних видів палива шляхом їх заміщення на альтернативні або технічного вдосконалення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електрогенеруючого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обладнання, у результаті чого спостерігатиметься економія бюджетних коштів.</w:t>
      </w:r>
      <w:r w:rsidRPr="004B6059">
        <w:rPr>
          <w:rFonts w:ascii="Times New Roman" w:hAnsi="Times New Roman"/>
          <w:color w:val="414042"/>
          <w:sz w:val="28"/>
          <w:szCs w:val="28"/>
          <w:lang w:val="uk-UA"/>
        </w:rPr>
        <w:t xml:space="preserve"> 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B6059">
        <w:rPr>
          <w:rFonts w:ascii="Times New Roman" w:hAnsi="Times New Roman"/>
          <w:sz w:val="28"/>
          <w:szCs w:val="28"/>
        </w:rPr>
        <w:t xml:space="preserve">Мета </w:t>
      </w:r>
      <w:r w:rsidR="00B25F91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4B6059">
        <w:rPr>
          <w:rFonts w:ascii="Times New Roman" w:hAnsi="Times New Roman"/>
          <w:sz w:val="28"/>
          <w:szCs w:val="28"/>
        </w:rPr>
        <w:t>рограми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B6059">
        <w:rPr>
          <w:rFonts w:ascii="Times New Roman" w:hAnsi="Times New Roman"/>
          <w:sz w:val="28"/>
          <w:szCs w:val="28"/>
        </w:rPr>
        <w:t>рахунок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B605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низки </w:t>
      </w:r>
      <w:proofErr w:type="spellStart"/>
      <w:r w:rsidRPr="004B6059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енергозберігаючих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6059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на подальше </w:t>
      </w:r>
      <w:proofErr w:type="spellStart"/>
      <w:r w:rsidRPr="004B6059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обсягів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</w:rPr>
        <w:t>енергоресурсів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B6059">
        <w:rPr>
          <w:rFonts w:ascii="Times New Roman" w:hAnsi="Times New Roman"/>
          <w:sz w:val="28"/>
          <w:szCs w:val="28"/>
        </w:rPr>
        <w:t>бюджетній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6059">
        <w:rPr>
          <w:rFonts w:ascii="Times New Roman" w:hAnsi="Times New Roman"/>
          <w:sz w:val="28"/>
          <w:szCs w:val="28"/>
        </w:rPr>
        <w:t>житлово-комунальній</w:t>
      </w:r>
      <w:proofErr w:type="spellEnd"/>
      <w:r w:rsidRPr="004B6059">
        <w:rPr>
          <w:rFonts w:ascii="Times New Roman" w:hAnsi="Times New Roman"/>
          <w:sz w:val="28"/>
          <w:szCs w:val="28"/>
        </w:rPr>
        <w:t xml:space="preserve"> сферах</w:t>
      </w:r>
      <w:r w:rsidRPr="004B6059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 xml:space="preserve">Основним завданням Програми є модернізація обладнання, утеплення фасадів, зовнішніх огороджувальних конструкцій приміщень і споруд, заміна вхідних дверей та вікон на металопластикові, впровадження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систем освітлення, заміна ламп розжарювання на енергоощадні лампи, скорочення бюджетних видатків на оплату паливно-енергетичних ресурсів за рахунок упровадження заходів і технологій ефективного використання енергоресурсів. 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>Першочерговими цілями є:</w:t>
      </w:r>
      <w:r w:rsidR="00B25F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5F91" w:rsidRPr="00486FA3">
        <w:rPr>
          <w:rFonts w:ascii="Times New Roman" w:hAnsi="Times New Roman"/>
          <w:sz w:val="28"/>
          <w:szCs w:val="28"/>
          <w:lang w:val="uk-UA"/>
        </w:rPr>
        <w:t>з</w:t>
      </w:r>
      <w:r w:rsidRPr="00486FA3">
        <w:rPr>
          <w:rFonts w:ascii="Times New Roman" w:hAnsi="Times New Roman"/>
          <w:sz w:val="28"/>
          <w:szCs w:val="28"/>
          <w:lang w:val="uk-UA"/>
        </w:rPr>
        <w:t>адоволення</w:t>
      </w:r>
      <w:r w:rsidRPr="004B6059">
        <w:rPr>
          <w:rFonts w:ascii="Times New Roman" w:hAnsi="Times New Roman"/>
          <w:sz w:val="28"/>
          <w:szCs w:val="28"/>
          <w:lang w:val="uk-UA"/>
        </w:rPr>
        <w:t xml:space="preserve"> потреб споживачів у економічно доступних енергоресурсах;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забезпечення доступу до недорогих, надійних, стійких і сучасних джерел енергії для всіх споживачів;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підвищення енергетичної ефективності будівель відповідно до європейських стандартів в усіх елементах суспільного життя за рахунок впровадження енергозберігаючих технологій з використанням високоефективних матеріалів;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 xml:space="preserve">впровадження новітніх та енергоощадних технологій в усіх галузях комунального господарства шляхом заміни застарілого неефективного обладнання, заміни та підтримки в належному стані інженерних мереж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електро-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водо-постачання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та водовідведення;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 xml:space="preserve">залучення зовнішнього фінансування та європейського досвіду здійснення </w:t>
      </w:r>
      <w:proofErr w:type="spellStart"/>
      <w:r w:rsidRPr="004B6059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Pr="004B6059">
        <w:rPr>
          <w:rFonts w:ascii="Times New Roman" w:hAnsi="Times New Roman"/>
          <w:sz w:val="28"/>
          <w:szCs w:val="28"/>
          <w:lang w:val="uk-UA"/>
        </w:rPr>
        <w:t xml:space="preserve"> заходів;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підвищення обізнаності населення громади з питань енергоефективності та формування нової моделі поведінки споживачів;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забезпечення відкритості, безпеки, життєстійкості й екологічної стійкості населених пунктів громади;</w:t>
      </w:r>
      <w:r w:rsidRPr="004B6059">
        <w:rPr>
          <w:rFonts w:ascii="Times New Roman" w:hAnsi="Times New Roman"/>
          <w:sz w:val="28"/>
          <w:szCs w:val="28"/>
        </w:rPr>
        <w:t> </w:t>
      </w:r>
      <w:r w:rsidRPr="004B6059">
        <w:rPr>
          <w:rFonts w:ascii="Times New Roman" w:hAnsi="Times New Roman"/>
          <w:sz w:val="28"/>
          <w:szCs w:val="28"/>
          <w:lang w:val="uk-UA"/>
        </w:rPr>
        <w:t>вжиття невідкладних заходів щодо боротьби зі зміною клімату та її наслідками.</w:t>
      </w:r>
    </w:p>
    <w:p w:rsidR="00575B6F" w:rsidRPr="004B6059" w:rsidRDefault="00575B6F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059">
        <w:rPr>
          <w:rFonts w:ascii="Times New Roman" w:hAnsi="Times New Roman"/>
          <w:sz w:val="28"/>
          <w:szCs w:val="28"/>
          <w:lang w:val="uk-UA"/>
        </w:rPr>
        <w:t>Виконання Програми спрямоване на: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визначення першочергових енергозберігаючих та </w:t>
      </w:r>
      <w:proofErr w:type="spellStart"/>
      <w:r w:rsidR="00575B6F" w:rsidRPr="004B6059">
        <w:rPr>
          <w:rFonts w:ascii="Times New Roman" w:hAnsi="Times New Roman"/>
          <w:sz w:val="28"/>
          <w:szCs w:val="28"/>
          <w:lang w:val="uk-UA"/>
        </w:rPr>
        <w:t>реноваційних</w:t>
      </w:r>
      <w:proofErr w:type="spellEnd"/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 заходів для покращення енергоефективності бюджетних будівель на підставі рекомендацій енергетичних сертифікатів (</w:t>
      </w:r>
      <w:proofErr w:type="spellStart"/>
      <w:r w:rsidR="00575B6F" w:rsidRPr="004B6059">
        <w:rPr>
          <w:rFonts w:ascii="Times New Roman" w:hAnsi="Times New Roman"/>
          <w:sz w:val="28"/>
          <w:szCs w:val="28"/>
          <w:lang w:val="uk-UA"/>
        </w:rPr>
        <w:t>енергоаудитів</w:t>
      </w:r>
      <w:proofErr w:type="spellEnd"/>
      <w:r w:rsidR="00575B6F" w:rsidRPr="004B6059">
        <w:rPr>
          <w:rFonts w:ascii="Times New Roman" w:hAnsi="Times New Roman"/>
          <w:sz w:val="28"/>
          <w:szCs w:val="28"/>
          <w:lang w:val="uk-UA"/>
        </w:rPr>
        <w:t>);</w:t>
      </w:r>
      <w:r w:rsidR="00575B6F" w:rsidRPr="004B6059">
        <w:rPr>
          <w:rFonts w:ascii="Times New Roman" w:hAnsi="Times New Roman"/>
          <w:sz w:val="28"/>
          <w:szCs w:val="28"/>
        </w:rPr>
        <w:t> 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>раціональне використання енергоносіїв у бюджетній сфері за умов дотримання санітарно-гігієнічних норм;</w:t>
      </w:r>
      <w:r w:rsidR="00575B6F" w:rsidRPr="004B6059">
        <w:rPr>
          <w:rFonts w:ascii="Times New Roman" w:hAnsi="Times New Roman"/>
          <w:sz w:val="28"/>
          <w:szCs w:val="28"/>
        </w:rPr>
        <w:t> 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>досягнення економії бюджетних коштів;</w:t>
      </w:r>
      <w:r w:rsidR="00575B6F" w:rsidRPr="004B6059">
        <w:rPr>
          <w:rFonts w:ascii="Times New Roman" w:hAnsi="Times New Roman"/>
          <w:sz w:val="28"/>
          <w:szCs w:val="28"/>
        </w:rPr>
        <w:t> </w:t>
      </w:r>
    </w:p>
    <w:p w:rsidR="00575B6F" w:rsidRPr="004B6059" w:rsidRDefault="004B6059" w:rsidP="004B605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збільшення обсягів інвестицій в </w:t>
      </w:r>
      <w:proofErr w:type="spellStart"/>
      <w:r w:rsidR="00575B6F" w:rsidRPr="004B6059">
        <w:rPr>
          <w:rFonts w:ascii="Times New Roman" w:hAnsi="Times New Roman"/>
          <w:sz w:val="28"/>
          <w:szCs w:val="28"/>
          <w:lang w:val="uk-UA"/>
        </w:rPr>
        <w:t>енергоефективну</w:t>
      </w:r>
      <w:proofErr w:type="spellEnd"/>
      <w:r w:rsidR="00575B6F" w:rsidRPr="004B6059">
        <w:rPr>
          <w:rFonts w:ascii="Times New Roman" w:hAnsi="Times New Roman"/>
          <w:sz w:val="28"/>
          <w:szCs w:val="28"/>
          <w:lang w:val="uk-UA"/>
        </w:rPr>
        <w:t xml:space="preserve"> модернізацію та частки відновлювальних джерел енергії;</w:t>
      </w:r>
      <w:r w:rsidR="00575B6F" w:rsidRPr="004B6059">
        <w:rPr>
          <w:rFonts w:ascii="Times New Roman" w:hAnsi="Times New Roman"/>
          <w:sz w:val="28"/>
          <w:szCs w:val="28"/>
        </w:rPr>
        <w:t> </w:t>
      </w:r>
    </w:p>
    <w:p w:rsidR="00575B6F" w:rsidRPr="003A3671" w:rsidRDefault="003A3671" w:rsidP="003A367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3A3671">
        <w:rPr>
          <w:rFonts w:ascii="Times New Roman" w:hAnsi="Times New Roman"/>
          <w:sz w:val="28"/>
          <w:szCs w:val="28"/>
          <w:lang w:val="uk-UA"/>
        </w:rPr>
        <w:t>стимулювання населення громади до раціонального та ощадного використання всіх видів енергетичних ресурсів;</w:t>
      </w:r>
      <w:r w:rsidR="00575B6F" w:rsidRPr="003A3671">
        <w:rPr>
          <w:rFonts w:ascii="Times New Roman" w:hAnsi="Times New Roman"/>
          <w:sz w:val="28"/>
          <w:szCs w:val="28"/>
        </w:rPr>
        <w:t> </w:t>
      </w:r>
    </w:p>
    <w:p w:rsidR="00575B6F" w:rsidRDefault="003A3671" w:rsidP="003A367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575B6F" w:rsidRPr="003A3671">
        <w:rPr>
          <w:rFonts w:ascii="Times New Roman" w:hAnsi="Times New Roman"/>
          <w:sz w:val="28"/>
          <w:szCs w:val="28"/>
          <w:lang w:val="uk-UA"/>
        </w:rPr>
        <w:t>підвищення комфортності умов проживання в житлових будинках та зменшення витрат домогосподарств на оплату житлово-комунальних послуг, покращення енергетичних характеристик житлового фонду.</w:t>
      </w:r>
    </w:p>
    <w:p w:rsidR="00904E87" w:rsidRPr="003A3671" w:rsidRDefault="00904E87" w:rsidP="003A367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6F" w:rsidRDefault="00575B6F" w:rsidP="00575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шляхів і засобів розв’язання проблеми, обсягів та джерел фінансування, строки та етапи виконання Програми</w:t>
      </w:r>
    </w:p>
    <w:p w:rsidR="00575B6F" w:rsidRDefault="00575B6F" w:rsidP="00904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5602" w:rsidRDefault="00CD5602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>лях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і засоб</w:t>
      </w:r>
      <w:r>
        <w:rPr>
          <w:rFonts w:ascii="Times New Roman" w:hAnsi="Times New Roman"/>
          <w:sz w:val="28"/>
          <w:szCs w:val="28"/>
          <w:lang w:val="uk-UA"/>
        </w:rPr>
        <w:t>и розв’язання проблем: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5B6F" w:rsidRPr="00904E87" w:rsidRDefault="00904E87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забезпечувати реалізацію заходів технічного характеру, демонтаж старих вікон, встановлення енергозберігаючих вікон; </w:t>
      </w:r>
    </w:p>
    <w:p w:rsidR="00575B6F" w:rsidRPr="00904E87" w:rsidRDefault="00904E87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заміна конструкції даху, встановлення </w:t>
      </w:r>
      <w:proofErr w:type="spellStart"/>
      <w:r w:rsidR="00575B6F" w:rsidRPr="00904E87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575B6F" w:rsidRPr="00904E87">
        <w:rPr>
          <w:rFonts w:ascii="Times New Roman" w:hAnsi="Times New Roman"/>
          <w:sz w:val="28"/>
          <w:szCs w:val="28"/>
          <w:lang w:val="uk-UA"/>
        </w:rPr>
        <w:t>гідро-</w:t>
      </w:r>
      <w:proofErr w:type="spellEnd"/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бар’єрів, утеплення перекриттів даху та інші заходи, щодо впровадження енергозберігаючих та </w:t>
      </w:r>
      <w:proofErr w:type="spellStart"/>
      <w:r w:rsidR="00575B6F" w:rsidRPr="00904E87">
        <w:rPr>
          <w:rFonts w:ascii="Times New Roman" w:hAnsi="Times New Roman"/>
          <w:sz w:val="28"/>
          <w:szCs w:val="28"/>
          <w:lang w:val="uk-UA"/>
        </w:rPr>
        <w:t>енергоефективних</w:t>
      </w:r>
      <w:proofErr w:type="spellEnd"/>
      <w:r w:rsidR="00575B6F" w:rsidRPr="00904E87">
        <w:rPr>
          <w:rFonts w:ascii="Times New Roman" w:hAnsi="Times New Roman"/>
          <w:sz w:val="28"/>
          <w:szCs w:val="28"/>
          <w:lang w:val="uk-UA"/>
        </w:rPr>
        <w:t xml:space="preserve"> заходів.</w:t>
      </w:r>
    </w:p>
    <w:p w:rsidR="00575B6F" w:rsidRPr="00904E87" w:rsidRDefault="00575B6F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4E87">
        <w:rPr>
          <w:rFonts w:ascii="Times New Roman" w:hAnsi="Times New Roman"/>
          <w:sz w:val="28"/>
          <w:szCs w:val="28"/>
        </w:rPr>
        <w:t xml:space="preserve">У рамках </w:t>
      </w:r>
      <w:proofErr w:type="spellStart"/>
      <w:r w:rsidRPr="00904E8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заходи, </w:t>
      </w:r>
      <w:proofErr w:type="spellStart"/>
      <w:r w:rsidRPr="00904E87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яких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забезпечить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 w:rsidRPr="00904E87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енергоресурсів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E87">
        <w:rPr>
          <w:rFonts w:ascii="Times New Roman" w:hAnsi="Times New Roman"/>
          <w:sz w:val="28"/>
          <w:szCs w:val="28"/>
        </w:rPr>
        <w:t>їх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економію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E87">
        <w:rPr>
          <w:rFonts w:ascii="Times New Roman" w:hAnsi="Times New Roman"/>
          <w:sz w:val="28"/>
          <w:szCs w:val="28"/>
        </w:rPr>
        <w:t>що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у свою </w:t>
      </w:r>
      <w:proofErr w:type="spellStart"/>
      <w:r w:rsidRPr="00904E87">
        <w:rPr>
          <w:rFonts w:ascii="Times New Roman" w:hAnsi="Times New Roman"/>
          <w:sz w:val="28"/>
          <w:szCs w:val="28"/>
        </w:rPr>
        <w:t>чергу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сприятиме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4E87">
        <w:rPr>
          <w:rFonts w:ascii="Times New Roman" w:hAnsi="Times New Roman"/>
          <w:sz w:val="28"/>
          <w:szCs w:val="28"/>
        </w:rPr>
        <w:t>п</w:t>
      </w:r>
      <w:proofErr w:type="gramEnd"/>
      <w:r w:rsidRPr="00904E87">
        <w:rPr>
          <w:rFonts w:ascii="Times New Roman" w:hAnsi="Times New Roman"/>
          <w:sz w:val="28"/>
          <w:szCs w:val="28"/>
        </w:rPr>
        <w:t>ідвищенню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якості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життя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громади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4E8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шляхів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904E87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громади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базується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на принципах </w:t>
      </w:r>
      <w:proofErr w:type="spellStart"/>
      <w:r w:rsidRPr="00904E87">
        <w:rPr>
          <w:rFonts w:ascii="Times New Roman" w:hAnsi="Times New Roman"/>
          <w:sz w:val="28"/>
          <w:szCs w:val="28"/>
        </w:rPr>
        <w:t>системності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4E87">
        <w:rPr>
          <w:rFonts w:ascii="Times New Roman" w:hAnsi="Times New Roman"/>
          <w:sz w:val="28"/>
          <w:szCs w:val="28"/>
        </w:rPr>
        <w:t>комплексності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04E87">
        <w:rPr>
          <w:rFonts w:ascii="Times New Roman" w:hAnsi="Times New Roman"/>
          <w:sz w:val="28"/>
          <w:szCs w:val="28"/>
        </w:rPr>
        <w:t>техн</w:t>
      </w:r>
      <w:proofErr w:type="gramEnd"/>
      <w:r w:rsidRPr="00904E87">
        <w:rPr>
          <w:rFonts w:ascii="Times New Roman" w:hAnsi="Times New Roman"/>
          <w:sz w:val="28"/>
          <w:szCs w:val="28"/>
        </w:rPr>
        <w:t>ічної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04E87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904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E87">
        <w:rPr>
          <w:rFonts w:ascii="Times New Roman" w:hAnsi="Times New Roman"/>
          <w:sz w:val="28"/>
          <w:szCs w:val="28"/>
        </w:rPr>
        <w:t>спроможності</w:t>
      </w:r>
      <w:proofErr w:type="spellEnd"/>
      <w:r w:rsidRPr="00904E87">
        <w:rPr>
          <w:rFonts w:ascii="Times New Roman" w:hAnsi="Times New Roman"/>
          <w:sz w:val="28"/>
          <w:szCs w:val="28"/>
        </w:rPr>
        <w:t>.</w:t>
      </w:r>
    </w:p>
    <w:p w:rsidR="00575B6F" w:rsidRPr="00904E87" w:rsidRDefault="00575B6F" w:rsidP="00904E8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4E87">
        <w:rPr>
          <w:rFonts w:ascii="Times New Roman" w:hAnsi="Times New Roman"/>
          <w:sz w:val="28"/>
          <w:szCs w:val="28"/>
          <w:lang w:val="uk-UA"/>
        </w:rPr>
        <w:t xml:space="preserve">Фінансування заходів, передбачених Програмою, здійснюється за рахунок коштів місцевого бюджету </w:t>
      </w:r>
      <w:r w:rsidR="00CD5602">
        <w:rPr>
          <w:rFonts w:ascii="Times New Roman" w:hAnsi="Times New Roman"/>
          <w:sz w:val="28"/>
          <w:szCs w:val="28"/>
          <w:lang w:val="uk-UA"/>
        </w:rPr>
        <w:t xml:space="preserve">на відповідний рік </w:t>
      </w:r>
      <w:r w:rsidRPr="00904E87">
        <w:rPr>
          <w:rFonts w:ascii="Times New Roman" w:hAnsi="Times New Roman"/>
          <w:sz w:val="28"/>
          <w:szCs w:val="28"/>
          <w:lang w:val="uk-UA"/>
        </w:rPr>
        <w:t>(додаток 1).</w:t>
      </w:r>
    </w:p>
    <w:p w:rsidR="00817A2F" w:rsidRPr="00B25F91" w:rsidRDefault="00817A2F" w:rsidP="00904E8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B6F" w:rsidRDefault="00817A2F" w:rsidP="00817A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Напрям</w:t>
      </w:r>
      <w:r w:rsidR="00575B6F">
        <w:rPr>
          <w:rFonts w:ascii="Times New Roman" w:hAnsi="Times New Roman"/>
          <w:b/>
          <w:sz w:val="28"/>
          <w:szCs w:val="28"/>
          <w:lang w:val="uk-UA"/>
        </w:rPr>
        <w:t>и діяльності та заходи Програми</w:t>
      </w:r>
    </w:p>
    <w:p w:rsidR="00817A2F" w:rsidRPr="00B25F91" w:rsidRDefault="00817A2F" w:rsidP="00817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Напрями діяльності та заходи Програми викладено в додатку 2 до Програми.</w:t>
      </w:r>
    </w:p>
    <w:p w:rsidR="00575B6F" w:rsidRPr="00B25F91" w:rsidRDefault="00575B6F" w:rsidP="00817A2F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5B6F" w:rsidRDefault="00575B6F" w:rsidP="00817A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Очікувані результати та ефективність Програми</w:t>
      </w:r>
    </w:p>
    <w:p w:rsidR="00575B6F" w:rsidRPr="00B25F91" w:rsidRDefault="00575B6F" w:rsidP="00817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color w:val="414042"/>
          <w:sz w:val="28"/>
          <w:szCs w:val="28"/>
          <w:lang w:val="uk-UA" w:eastAsia="uk-UA"/>
        </w:rPr>
      </w:pPr>
      <w:r w:rsidRPr="00817A2F">
        <w:rPr>
          <w:rFonts w:ascii="Times New Roman" w:hAnsi="Times New Roman"/>
          <w:sz w:val="28"/>
          <w:szCs w:val="28"/>
          <w:lang w:val="uk-UA" w:eastAsia="uk-UA"/>
        </w:rPr>
        <w:t>Реалізація заходів, передбачених Програмою, сприятиме оптимізації паливно-енергетичного балансу Ананьївської міської територіальної громади, більш високому технічному рівню постачання та упорядкування рівня споживання енергоресурсів</w:t>
      </w:r>
      <w:r w:rsidRPr="00817A2F">
        <w:rPr>
          <w:rFonts w:ascii="Times New Roman" w:hAnsi="Times New Roman"/>
          <w:color w:val="414042"/>
          <w:sz w:val="28"/>
          <w:szCs w:val="28"/>
          <w:lang w:val="uk-UA" w:eastAsia="uk-UA"/>
        </w:rPr>
        <w:t xml:space="preserve">. 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17A2F">
        <w:rPr>
          <w:rFonts w:ascii="Times New Roman" w:hAnsi="Times New Roman"/>
          <w:sz w:val="28"/>
          <w:szCs w:val="28"/>
          <w:lang w:val="uk-UA" w:eastAsia="uk-UA"/>
        </w:rPr>
        <w:t>Велике значення на період впровадження Програми матиме створення сприятливого економічного середовища для практичної діяльності в сфері енергозбереження. Успішна реалізація Програми буде мати позитивний вплив на соціальне становище громади, забезпечить ефективне використання енергоресурсів.</w:t>
      </w:r>
    </w:p>
    <w:p w:rsidR="00575B6F" w:rsidRPr="001F2332" w:rsidRDefault="00575B6F" w:rsidP="00575B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1F2332" w:rsidRDefault="00575B6F" w:rsidP="001F2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:rsidR="001F2332" w:rsidRDefault="001F2332" w:rsidP="001F2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5B6F" w:rsidRPr="00817A2F" w:rsidRDefault="00575B6F" w:rsidP="001F2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Безпосередній контроль за виконанням заходів Програми здійснюється відповідальним виконавцем, зазначеним у цій Програмі, а за цільовим та ефективним використанням коштів – головним розпорядником бюджетних коштів.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 xml:space="preserve">Відповідальний виконавець Програми до 15 липня та до 15 січня щорічно  готує та подає до фінансового управління Ананьївської міської ради та до </w:t>
      </w:r>
      <w:r w:rsidRPr="00817A2F">
        <w:rPr>
          <w:rFonts w:ascii="Times New Roman" w:hAnsi="Times New Roman"/>
          <w:sz w:val="28"/>
          <w:szCs w:val="28"/>
          <w:lang w:val="uk-UA"/>
        </w:rPr>
        <w:lastRenderedPageBreak/>
        <w:t>сектору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– обґрунтування причин.</w:t>
      </w:r>
    </w:p>
    <w:p w:rsidR="00575B6F" w:rsidRPr="00B25F91" w:rsidRDefault="00575B6F" w:rsidP="00817A2F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86FA3">
        <w:rPr>
          <w:rFonts w:ascii="Times New Roman" w:hAnsi="Times New Roman"/>
          <w:sz w:val="28"/>
          <w:szCs w:val="28"/>
          <w:lang w:val="uk-UA"/>
        </w:rPr>
        <w:t xml:space="preserve">Поточний контроль за ходом реалізації Програми здійснює постійна комісія Ананьївської міської ради </w:t>
      </w:r>
      <w:r w:rsidR="00486FA3" w:rsidRPr="00CD5602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B25F91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Координація роботи із забезпеченням виконання Програми між усіма виконавцями заходів покладається на відділ з питань будівництва, житлово-комунального господарства та інфраструктури Ананьївської міської ради, який здійснює систематичний моніторинг реалізації заходів і завдань Програми.</w:t>
      </w:r>
    </w:p>
    <w:p w:rsidR="00575B6F" w:rsidRPr="00817A2F" w:rsidRDefault="00575B6F" w:rsidP="00817A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7A2F">
        <w:rPr>
          <w:rFonts w:ascii="Times New Roman" w:hAnsi="Times New Roman"/>
          <w:sz w:val="28"/>
          <w:szCs w:val="28"/>
          <w:lang w:val="uk-UA"/>
        </w:rPr>
        <w:t>Після закінчення встановленого строку виконання Програми, не пізніше, ніж у місячний строк, відділ з питань будівництва, житлово-комунального господарства та інфраструктури Ананьївської міської ради складає підсумковий звіт про результати її виконання та подає його на розгляд Ананьївської міської ради із пояснювальною запискою.</w:t>
      </w:r>
    </w:p>
    <w:p w:rsidR="00575B6F" w:rsidRDefault="00575B6F" w:rsidP="00575B6F">
      <w:pPr>
        <w:spacing w:after="0"/>
        <w:rPr>
          <w:rFonts w:ascii="Times New Roman" w:hAnsi="Times New Roman"/>
          <w:b/>
          <w:sz w:val="28"/>
          <w:szCs w:val="28"/>
          <w:lang w:val="uk-UA"/>
        </w:rPr>
        <w:sectPr w:rsidR="00575B6F" w:rsidSect="00FB0A89">
          <w:pgSz w:w="11906" w:h="16838"/>
          <w:pgMar w:top="851" w:right="566" w:bottom="1135" w:left="1701" w:header="708" w:footer="708" w:gutter="0"/>
          <w:cols w:space="720"/>
        </w:sectPr>
      </w:pPr>
    </w:p>
    <w:p w:rsidR="00575B6F" w:rsidRDefault="00575B6F" w:rsidP="00B17146">
      <w:pPr>
        <w:spacing w:after="0" w:line="240" w:lineRule="auto"/>
        <w:ind w:left="6663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 1</w:t>
      </w:r>
    </w:p>
    <w:p w:rsidR="00575B6F" w:rsidRDefault="00575B6F" w:rsidP="00B17146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</w:t>
      </w:r>
      <w:r w:rsidR="00052113">
        <w:rPr>
          <w:rFonts w:ascii="Times New Roman" w:hAnsi="Times New Roman"/>
          <w:sz w:val="24"/>
          <w:szCs w:val="24"/>
          <w:lang w:val="uk-UA" w:eastAsia="ru-RU"/>
        </w:rPr>
        <w:t xml:space="preserve"> територіальної громади на 2025</w:t>
      </w:r>
      <w:r>
        <w:rPr>
          <w:rFonts w:ascii="Times New Roman" w:hAnsi="Times New Roman"/>
          <w:sz w:val="24"/>
          <w:szCs w:val="24"/>
          <w:lang w:val="uk-UA" w:eastAsia="ru-RU"/>
        </w:rPr>
        <w:t>–2026  роки</w:t>
      </w:r>
    </w:p>
    <w:p w:rsidR="00575B6F" w:rsidRDefault="00575B6F" w:rsidP="00575B6F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75B6F" w:rsidRDefault="00575B6F" w:rsidP="00575B6F">
      <w:pPr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Ресурсне забезпечення цільової Програми з енергоефективності  та енергозбереження на території  Ананьївської міської</w:t>
      </w:r>
      <w:r w:rsidR="007A06B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територіальної громади на 2025–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2026 роки</w:t>
      </w:r>
    </w:p>
    <w:p w:rsidR="00575B6F" w:rsidRDefault="00575B6F" w:rsidP="00575B6F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75B6F" w:rsidRDefault="00575B6F" w:rsidP="00575B6F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тис. грн.</w:t>
      </w:r>
    </w:p>
    <w:tbl>
      <w:tblPr>
        <w:tblW w:w="96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1639"/>
        <w:gridCol w:w="1421"/>
        <w:gridCol w:w="1843"/>
      </w:tblGrid>
      <w:tr w:rsidR="00575B6F" w:rsidTr="00575B6F">
        <w:trPr>
          <w:trHeight w:val="1134"/>
        </w:trPr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Рік виконання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витрат</w:t>
            </w:r>
            <w:r w:rsidR="007A06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Програми</w:t>
            </w:r>
          </w:p>
        </w:tc>
      </w:tr>
      <w:tr w:rsidR="00575B6F" w:rsidTr="00575B6F">
        <w:trPr>
          <w:trHeight w:val="660"/>
        </w:trPr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2026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0"/>
            </w:pPr>
          </w:p>
        </w:tc>
      </w:tr>
      <w:tr w:rsidR="00575B6F" w:rsidTr="00575B6F">
        <w:trPr>
          <w:trHeight w:val="348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 ресурсів, усього, у тому числі: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1 120,0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1 770,0</w:t>
            </w:r>
          </w:p>
        </w:tc>
      </w:tr>
      <w:tr w:rsidR="00575B6F" w:rsidTr="00575B6F">
        <w:trPr>
          <w:trHeight w:val="318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1 120,0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B6F" w:rsidRDefault="00575B6F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1 770,0</w:t>
            </w:r>
          </w:p>
        </w:tc>
      </w:tr>
    </w:tbl>
    <w:p w:rsidR="00575B6F" w:rsidRDefault="00575B6F" w:rsidP="00575B6F">
      <w:pPr>
        <w:spacing w:after="0"/>
        <w:rPr>
          <w:rFonts w:cs="Calibri"/>
          <w:lang w:val="uk-UA"/>
        </w:rPr>
        <w:sectPr w:rsidR="00575B6F" w:rsidSect="00B17146">
          <w:pgSz w:w="11906" w:h="16838"/>
          <w:pgMar w:top="993" w:right="566" w:bottom="568" w:left="1701" w:header="708" w:footer="708" w:gutter="0"/>
          <w:cols w:space="720"/>
        </w:sectPr>
      </w:pPr>
    </w:p>
    <w:p w:rsidR="00575B6F" w:rsidRDefault="00575B6F" w:rsidP="00575B6F">
      <w:pPr>
        <w:spacing w:before="72" w:after="0" w:line="240" w:lineRule="auto"/>
        <w:ind w:left="11057" w:firstLine="32"/>
        <w:jc w:val="both"/>
        <w:rPr>
          <w:rFonts w:ascii="Times New Roman" w:hAnsi="Times New Roman"/>
          <w:b/>
          <w:bCs/>
          <w:spacing w:val="-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Додаток2</w:t>
      </w:r>
    </w:p>
    <w:p w:rsidR="00575B6F" w:rsidRDefault="00575B6F" w:rsidP="00575B6F">
      <w:pPr>
        <w:spacing w:after="0" w:line="240" w:lineRule="auto"/>
        <w:ind w:left="11057" w:firstLine="32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</w:t>
      </w:r>
      <w:r w:rsidR="00653BE9">
        <w:rPr>
          <w:rFonts w:ascii="Times New Roman" w:hAnsi="Times New Roman"/>
          <w:sz w:val="24"/>
          <w:szCs w:val="24"/>
          <w:lang w:val="uk-UA" w:eastAsia="ru-RU"/>
        </w:rPr>
        <w:t xml:space="preserve"> територіальної громади на 2025–</w:t>
      </w:r>
      <w:r>
        <w:rPr>
          <w:rFonts w:ascii="Times New Roman" w:hAnsi="Times New Roman"/>
          <w:sz w:val="24"/>
          <w:szCs w:val="24"/>
          <w:lang w:val="uk-UA" w:eastAsia="ru-RU"/>
        </w:rPr>
        <w:t>2026  роки</w:t>
      </w:r>
    </w:p>
    <w:p w:rsidR="00575B6F" w:rsidRDefault="00575B6F" w:rsidP="00575B6F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 w:eastAsia="ru-RU"/>
        </w:rPr>
      </w:pPr>
    </w:p>
    <w:p w:rsidR="00575B6F" w:rsidRDefault="00575B6F" w:rsidP="00575B6F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Пріоритетні напрями діяльності та заходи  цільової Програми з енергоефективності  та енергозбереження </w:t>
      </w:r>
    </w:p>
    <w:p w:rsidR="00575B6F" w:rsidRDefault="00575B6F" w:rsidP="00575B6F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на території  Ананьївської міської територіальної </w:t>
      </w:r>
      <w:r w:rsidR="00653BE9">
        <w:rPr>
          <w:rFonts w:ascii="Times New Roman" w:hAnsi="Times New Roman"/>
          <w:b/>
          <w:bCs/>
          <w:sz w:val="24"/>
          <w:szCs w:val="24"/>
          <w:lang w:val="uk-UA" w:eastAsia="ru-RU"/>
        </w:rPr>
        <w:t>громади на 2025-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2026 роки</w:t>
      </w:r>
    </w:p>
    <w:p w:rsidR="00575B6F" w:rsidRDefault="00575B6F" w:rsidP="00575B6F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61"/>
        <w:gridCol w:w="4397"/>
        <w:gridCol w:w="2694"/>
        <w:gridCol w:w="1134"/>
        <w:gridCol w:w="1134"/>
        <w:gridCol w:w="1134"/>
        <w:gridCol w:w="1134"/>
        <w:gridCol w:w="1764"/>
      </w:tblGrid>
      <w:tr w:rsidR="00575B6F" w:rsidTr="001B5282">
        <w:trPr>
          <w:trHeight w:val="14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Назва напряму діяльності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щодо реалізації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завдань програми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Перелік заходів програми, стисла характеристика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Джерела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>фінансу-ва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Орієнтовний обсяг фінансування,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575B6F" w:rsidTr="001B5282">
        <w:trPr>
          <w:trHeight w:val="5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5B6F" w:rsidTr="001B52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</w:tr>
      <w:tr w:rsidR="00575B6F" w:rsidRPr="00CC4144" w:rsidTr="003239E9">
        <w:trPr>
          <w:trHeight w:val="18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E700D">
            <w:pPr>
              <w:widowControl w:val="0"/>
              <w:autoSpaceDE w:val="0"/>
              <w:autoSpaceDN w:val="0"/>
              <w:spacing w:after="0" w:line="240" w:lineRule="auto"/>
              <w:ind w:left="-7" w:right="-7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Впровадження енергозберігаючих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енергоефективних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заходів</w:t>
            </w:r>
          </w:p>
          <w:p w:rsidR="00575B6F" w:rsidRDefault="00575B6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pStyle w:val="docdata"/>
              <w:spacing w:before="0" w:beforeAutospacing="0" w:after="0" w:afterAutospacing="0"/>
            </w:pPr>
            <w:r>
              <w:rPr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color w:val="000000"/>
                <w:sz w:val="20"/>
                <w:szCs w:val="20"/>
              </w:rPr>
              <w:t>Капітальний ремонт  даху сільського</w:t>
            </w:r>
            <w:r w:rsidR="00653B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Будинку культури села Гандрабури КУ"Ананьївський центральний Будинок культури Ананьївської міської ради"</w:t>
            </w:r>
          </w:p>
          <w:p w:rsidR="00575B6F" w:rsidRDefault="00575B6F" w:rsidP="003239E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Зарічна, 134,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Гандрабури</w:t>
            </w:r>
            <w:proofErr w:type="spellEnd"/>
            <w:r w:rsidR="00653BE9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Подільський район, Одеська область»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</w:t>
            </w:r>
            <w:r w:rsidR="000D784E">
              <w:rPr>
                <w:rFonts w:ascii="Times New Roman" w:hAnsi="Times New Roman"/>
                <w:sz w:val="20"/>
                <w:szCs w:val="20"/>
                <w:lang w:val="uk-UA"/>
              </w:rPr>
              <w:t>ктури Ананьївської міської ради;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  <w:p w:rsidR="00575B6F" w:rsidRDefault="00575B6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енергоефективності будівлі, скорочення витрат на комунальні платежі, зменшення енерговитрат і поліпшен</w:t>
            </w:r>
            <w:r w:rsidR="00081A55">
              <w:rPr>
                <w:rFonts w:ascii="Times New Roman" w:hAnsi="Times New Roman"/>
                <w:sz w:val="20"/>
                <w:szCs w:val="20"/>
                <w:lang w:val="uk-UA"/>
              </w:rPr>
              <w:t>ня якості перебування в будівлі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575B6F" w:rsidTr="00B52661">
        <w:trPr>
          <w:trHeight w:val="2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line="240" w:lineRule="auto"/>
              <w:rPr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вікон 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гратами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 дверей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омадськ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</w:t>
            </w:r>
            <w:proofErr w:type="spellEnd"/>
            <w:r w:rsidR="000D78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</w:t>
            </w:r>
            <w:r w:rsidR="000D784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житлова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господарськими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допоміжними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спорудами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Одеського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художнього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музею)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Незалежності, 61,</w:t>
            </w:r>
            <w:r w:rsidR="00653BE9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 Ананьїв, Подільський район, Одеська область»  (заходи з енергозбереження)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5B6F" w:rsidTr="003239E9">
        <w:trPr>
          <w:trHeight w:val="1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75B6F" w:rsidTr="00B52661">
        <w:trPr>
          <w:trHeight w:val="13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«Капітальний ремонт даху, заміна вікон, </w:t>
            </w:r>
            <w:r w:rsidR="000D784E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дверей, </w:t>
            </w:r>
            <w:r w:rsidRPr="004D4ED6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улаштування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опалення в будівлі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КУ "Центр надання соціальних послуг Ананьївської міської ради"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по вул. Джерельна, 22, 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Байтали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,</w:t>
            </w:r>
            <w:r w:rsidR="000D784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Подільський район, Одеська область»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60,,0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Pr="00653BE9" w:rsidRDefault="00575B6F" w:rsidP="00653BE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вікон  та дверей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 «Заклад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дошкільної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D784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ясла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-садок) «Ромашка» Ананьївської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ради»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Павла Омеляновича-Павленко,60 м. Ананьїв, Подільський район, Одеська область»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653B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</w:t>
            </w:r>
            <w:r w:rsidR="00653BE9">
              <w:rPr>
                <w:rFonts w:ascii="Times New Roman" w:hAnsi="Times New Roman"/>
                <w:sz w:val="20"/>
                <w:szCs w:val="20"/>
                <w:lang w:val="uk-UA"/>
              </w:rPr>
              <w:t>ансоутримувачі будівель і спору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даху, заміна вікон, дверей в будівлі комунальної власності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Ананьївської міської ради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по вул.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Маринича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Павла, 65, 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Байтали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, Подільський район, Одеська область»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3239E9">
        <w:trPr>
          <w:trHeight w:val="18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об’єкту: «Утеплення фасаду,  заміна вікон та дверей в будівлі Комунальної установи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Чорнобиля,44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споуд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75B6F" w:rsidRDefault="00575B6F" w:rsidP="00D13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Капітальний ремонт даху, заміна  дверей в будівлях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Новоселівської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філії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Шевченка Т.Г., буд. 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Новоселівка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Подільський район, Одеська область» 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239E9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дверей   в будівлі спортивної зали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Гімназійна, 38, м. Ананьїв, Подільський район, Одеська область» 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317446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балансоутри-мувачі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Улаштування  утеплення стін, заміна та утеплення даху, заміна вікон та дверей в будівлях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Романівської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№1 Ананьївської міської ради»  </w:t>
            </w:r>
            <w:r w:rsidR="00081A55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Центральна, 49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Романівка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Подільський район, Одеська область» (заходи з енергозбереження)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та утеплення даху, заміна дверей в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Шелехівської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№1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Лесі Українки, 176 –А,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Шелехове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 Подільський район, Одеська область»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6  0,0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приміщення інфекційного відділення КНП «Ананьївська багатопрофільна міська лікарня Анан</w:t>
            </w:r>
            <w:r w:rsidR="00081A5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ьївської міської ради»  по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Героїв України, 45, м. Ананьїв,  Подільський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вул..Богдана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Хмельницького, 69 Б, 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 Подільський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rPr>
          <w:trHeight w:val="18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даху, 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фельдшерського пункту КНП «Ананьївський центр первинної медико-санітарної допомоги Ананьївської міської ради» по вул. Джерельна, 25,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Байтали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(заходи з енергозбереження)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даху, 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фельдшерського пункту КНП «Ананьївський центр первинної медико-санітарної допомоги Ананьївської міської ради» по вул. Подільська, 47, с. Ананьїв,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«Заміна вікон та дверей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будівлі фельдшерського пункту КНП «Ананьївський центр первинної медико-санітарної допомоги Ананьївської міської ради»</w:t>
            </w:r>
            <w:r w:rsidR="00081A5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 вул. Б.Хмельницького, 29,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Кохівка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»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575B6F" w:rsidRDefault="00575B6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spacing w:after="0" w:line="240" w:lineRule="auto"/>
              <w:rPr>
                <w:rFonts w:ascii="Times New Roman" w:hAnsi="Times New Roman"/>
                <w:color w:val="FF0000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будівель КУ «Заклад дошкільної освіти (ясла-садок) «Сонечко» Ананьївської міської ради» по вул. Героїв України,40,м.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(заходи з енергозбереження)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Отримання сертифікату та проведення енергоаудиту нежитлової будівлі з господарськими (допоміжними) спорудами КНП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Визначення  енергетичного потенціалу будівлі, визначення заходів необхідних для підвищення енергоефективнос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ті будівель, участь в державні</w:t>
            </w:r>
            <w:r w:rsidR="00081A55">
              <w:rPr>
                <w:rFonts w:ascii="Times New Roman" w:hAnsi="Times New Roman"/>
                <w:sz w:val="20"/>
                <w:szCs w:val="20"/>
                <w:lang w:val="uk-UA"/>
              </w:rPr>
              <w:t>й Програмі з енергоефективності</w:t>
            </w: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 w:rsidP="00081A5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енергоаудиту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Чорнобиля,44,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 w:rsidP="00081A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енергоаудиту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Зарічна, 134,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Отримання сертифікату та проведення енергоаудиту</w:t>
            </w:r>
            <w:bookmarkStart w:id="1" w:name="_GoBack"/>
            <w:bookmarkEnd w:id="1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України, 48,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енергоаудиту нежитлової будівлі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комунальної установи                     «Ананьївський ліцей №1 Ананьївської міської ради» за адресою: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вул. Лесі Українки, буд.176а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B526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 w:rsidP="00B526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енергоаудиту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Незалежності, 51,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територіальної громади </w:t>
            </w:r>
          </w:p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за напрямком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Загальний обсяг, в т.ч.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1 120,0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spacing w:after="0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Загальний обсяг, в т.ч.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5B6F" w:rsidTr="001B5282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6F" w:rsidRDefault="0057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1 770,0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F" w:rsidRDefault="00575B6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75B6F" w:rsidRDefault="00575B6F" w:rsidP="00575B6F">
      <w:pPr>
        <w:rPr>
          <w:lang w:val="uk-UA"/>
        </w:rPr>
      </w:pPr>
    </w:p>
    <w:p w:rsidR="00575B6F" w:rsidRDefault="00575B6F" w:rsidP="00575B6F">
      <w:pPr>
        <w:rPr>
          <w:lang w:val="uk-UA"/>
        </w:rPr>
      </w:pPr>
    </w:p>
    <w:p w:rsidR="00575B6F" w:rsidRDefault="00575B6F" w:rsidP="00575B6F">
      <w:pPr>
        <w:rPr>
          <w:lang w:val="uk-UA"/>
        </w:rPr>
      </w:pPr>
    </w:p>
    <w:p w:rsidR="00575B6F" w:rsidRDefault="00575B6F" w:rsidP="00575B6F">
      <w:pPr>
        <w:rPr>
          <w:lang w:val="uk-UA"/>
        </w:rPr>
      </w:pPr>
    </w:p>
    <w:p w:rsidR="001C4F39" w:rsidRDefault="001C4F39"/>
    <w:sectPr w:rsidR="001C4F39" w:rsidSect="00653BE9">
      <w:pgSz w:w="16838" w:h="11906" w:orient="landscape"/>
      <w:pgMar w:top="1701" w:right="67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42C"/>
    <w:multiLevelType w:val="hybridMultilevel"/>
    <w:tmpl w:val="2D80E56C"/>
    <w:lvl w:ilvl="0" w:tplc="4B927C04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E5"/>
    <w:rsid w:val="00052113"/>
    <w:rsid w:val="00081A55"/>
    <w:rsid w:val="000D784E"/>
    <w:rsid w:val="000E700D"/>
    <w:rsid w:val="001B5282"/>
    <w:rsid w:val="001C4F39"/>
    <w:rsid w:val="001F2332"/>
    <w:rsid w:val="00230CE8"/>
    <w:rsid w:val="00234B44"/>
    <w:rsid w:val="00317446"/>
    <w:rsid w:val="003239E9"/>
    <w:rsid w:val="003A3671"/>
    <w:rsid w:val="00483EAA"/>
    <w:rsid w:val="00486FA3"/>
    <w:rsid w:val="004B6059"/>
    <w:rsid w:val="004D4ED6"/>
    <w:rsid w:val="00565CF0"/>
    <w:rsid w:val="00575B6F"/>
    <w:rsid w:val="005874A3"/>
    <w:rsid w:val="00613C7C"/>
    <w:rsid w:val="00653BE9"/>
    <w:rsid w:val="0070655D"/>
    <w:rsid w:val="00736D35"/>
    <w:rsid w:val="00796F23"/>
    <w:rsid w:val="007A06BB"/>
    <w:rsid w:val="0080755B"/>
    <w:rsid w:val="00817A2F"/>
    <w:rsid w:val="00904E87"/>
    <w:rsid w:val="009D5B73"/>
    <w:rsid w:val="00A066E3"/>
    <w:rsid w:val="00A670E5"/>
    <w:rsid w:val="00AB49CC"/>
    <w:rsid w:val="00AB532B"/>
    <w:rsid w:val="00AE38DC"/>
    <w:rsid w:val="00B17146"/>
    <w:rsid w:val="00B25F91"/>
    <w:rsid w:val="00B5149D"/>
    <w:rsid w:val="00B52661"/>
    <w:rsid w:val="00BB701C"/>
    <w:rsid w:val="00C9580F"/>
    <w:rsid w:val="00CC4144"/>
    <w:rsid w:val="00CD5602"/>
    <w:rsid w:val="00D13706"/>
    <w:rsid w:val="00D5597D"/>
    <w:rsid w:val="00D6180F"/>
    <w:rsid w:val="00E274E5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6F"/>
    <w:pPr>
      <w:ind w:left="720"/>
      <w:contextualSpacing/>
    </w:p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7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7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6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618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6F"/>
    <w:pPr>
      <w:ind w:left="720"/>
      <w:contextualSpacing/>
    </w:p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75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7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6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618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2024-12-12T15:04:00Z</dcterms:created>
  <dcterms:modified xsi:type="dcterms:W3CDTF">2024-12-19T12:42:00Z</dcterms:modified>
</cp:coreProperties>
</file>