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33" w:rsidRPr="00B21037" w:rsidRDefault="00CE0633" w:rsidP="00CE063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B21037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48630FB" wp14:editId="7B11C048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33" w:rsidRPr="00B21037" w:rsidRDefault="00CE0633" w:rsidP="00CE063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B21037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АНАНЬЇВСЬКА МІСЬКА РАДА</w:t>
      </w:r>
    </w:p>
    <w:p w:rsidR="00CE0633" w:rsidRPr="00B21037" w:rsidRDefault="00CE0633" w:rsidP="00CE063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ar-SA"/>
        </w:rPr>
      </w:pPr>
      <w:r w:rsidRPr="00B21037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РІШЕННЯ</w:t>
      </w:r>
    </w:p>
    <w:p w:rsidR="00CE0633" w:rsidRPr="00B21037" w:rsidRDefault="00CE0633" w:rsidP="00CE063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21037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CE0633" w:rsidRPr="00B21037" w:rsidRDefault="00CE0633" w:rsidP="00CE063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E0633" w:rsidRPr="00B21037" w:rsidRDefault="00CE0633" w:rsidP="00CE0633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B2103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B21037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B21037">
        <w:rPr>
          <w:rFonts w:ascii="Times New Roman" w:eastAsia="Times New Roman" w:hAnsi="Times New Roman"/>
          <w:bCs/>
          <w:sz w:val="28"/>
          <w:szCs w:val="28"/>
        </w:rPr>
        <w:tab/>
      </w:r>
      <w:r w:rsidRPr="00B21037">
        <w:rPr>
          <w:rFonts w:ascii="Times New Roman" w:eastAsia="Times New Roman" w:hAnsi="Times New Roman"/>
          <w:bCs/>
          <w:sz w:val="28"/>
          <w:szCs w:val="28"/>
        </w:rPr>
        <w:tab/>
      </w:r>
      <w:r w:rsidRPr="00B21037">
        <w:rPr>
          <w:rFonts w:ascii="Times New Roman" w:eastAsia="Times New Roman" w:hAnsi="Times New Roman"/>
          <w:bCs/>
          <w:sz w:val="28"/>
          <w:szCs w:val="28"/>
        </w:rPr>
        <w:tab/>
      </w:r>
      <w:r w:rsidRPr="00B21037">
        <w:rPr>
          <w:rFonts w:ascii="Times New Roman" w:eastAsia="Times New Roman" w:hAnsi="Times New Roman"/>
          <w:bCs/>
          <w:sz w:val="28"/>
          <w:szCs w:val="28"/>
        </w:rPr>
        <w:tab/>
      </w:r>
      <w:r w:rsidRPr="00B21037">
        <w:rPr>
          <w:rFonts w:ascii="Times New Roman" w:eastAsia="Times New Roman" w:hAnsi="Times New Roman"/>
          <w:bCs/>
          <w:sz w:val="28"/>
          <w:szCs w:val="28"/>
        </w:rPr>
        <w:tab/>
      </w:r>
      <w:r w:rsidRPr="00B21037">
        <w:rPr>
          <w:rFonts w:ascii="Times New Roman" w:eastAsia="Times New Roman" w:hAnsi="Times New Roman"/>
          <w:bCs/>
          <w:sz w:val="28"/>
          <w:szCs w:val="28"/>
        </w:rPr>
        <w:tab/>
      </w:r>
      <w:r w:rsidRPr="00B21037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1319-</w:t>
      </w:r>
      <w:r w:rsidRPr="00B21037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B21037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DA7D39" w:rsidRPr="00544812" w:rsidRDefault="00DA7D39" w:rsidP="00DA7D3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DA7D39" w:rsidRPr="00FB0994" w:rsidRDefault="00DA7D39" w:rsidP="00DA7D3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00DE3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дозволу на </w:t>
      </w: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их документацій</w:t>
      </w: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землеустрою щодо інвентаризації земельних ділянок</w:t>
      </w:r>
      <w:r w:rsidRPr="0057645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DA7D39" w:rsidRPr="005C54F7" w:rsidRDefault="00DA7D39" w:rsidP="00DA7D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</w:p>
    <w:p w:rsidR="00DA7D39" w:rsidRPr="00FB0994" w:rsidRDefault="00DA7D39" w:rsidP="00DA7D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B09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еруючись статтями 12,83 Земельного кодексу України, статтею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57 Закону України «Про землеустрій», пунктом 34 частини першої статті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FB0994">
        <w:rPr>
          <w:rFonts w:ascii="Times New Roman" w:hAnsi="Times New Roman"/>
          <w:sz w:val="28"/>
          <w:szCs w:val="28"/>
          <w:lang w:eastAsia="ar-SA"/>
        </w:rPr>
        <w:t>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A7D39" w:rsidRPr="006B096C" w:rsidRDefault="00DA7D39" w:rsidP="00DA7D3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DA7D39" w:rsidRPr="005C54F7" w:rsidRDefault="00DA7D39" w:rsidP="00DA7D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C54F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DA7D39" w:rsidRPr="00521B54" w:rsidRDefault="00DA7D39" w:rsidP="00DA7D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color w:val="FF0000"/>
          <w:sz w:val="24"/>
          <w:szCs w:val="24"/>
          <w:highlight w:val="yellow"/>
          <w:lang w:eastAsia="ar-SA"/>
        </w:rPr>
      </w:pPr>
    </w:p>
    <w:p w:rsidR="00DA7D39" w:rsidRDefault="00DA7D39" w:rsidP="00DA7D3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11EF5">
        <w:rPr>
          <w:rFonts w:ascii="Times New Roman" w:hAnsi="Times New Roman"/>
          <w:sz w:val="28"/>
          <w:szCs w:val="28"/>
        </w:rPr>
        <w:t xml:space="preserve">1. </w:t>
      </w:r>
      <w:r w:rsidRPr="003625EB">
        <w:rPr>
          <w:rFonts w:ascii="Times New Roman" w:hAnsi="Times New Roman"/>
          <w:sz w:val="28"/>
          <w:szCs w:val="28"/>
        </w:rPr>
        <w:t xml:space="preserve">Надати </w:t>
      </w:r>
      <w:proofErr w:type="spellStart"/>
      <w:r w:rsidRPr="003625EB">
        <w:rPr>
          <w:rFonts w:ascii="Times New Roman" w:hAnsi="Times New Roman"/>
          <w:sz w:val="28"/>
          <w:szCs w:val="28"/>
        </w:rPr>
        <w:t>Ананьївській</w:t>
      </w:r>
      <w:proofErr w:type="spellEnd"/>
      <w:r w:rsidRPr="003625EB">
        <w:rPr>
          <w:rFonts w:ascii="Times New Roman" w:hAnsi="Times New Roman"/>
          <w:sz w:val="28"/>
          <w:szCs w:val="28"/>
        </w:rPr>
        <w:t xml:space="preserve"> міській р</w:t>
      </w:r>
      <w:r>
        <w:rPr>
          <w:rFonts w:ascii="Times New Roman" w:hAnsi="Times New Roman"/>
          <w:sz w:val="28"/>
          <w:szCs w:val="28"/>
        </w:rPr>
        <w:t>аді дозвіл на розробку технічних документацій</w:t>
      </w:r>
      <w:r w:rsidRPr="003625EB">
        <w:rPr>
          <w:rFonts w:ascii="Times New Roman" w:hAnsi="Times New Roman"/>
          <w:sz w:val="28"/>
          <w:szCs w:val="28"/>
        </w:rPr>
        <w:t xml:space="preserve"> із землеустр</w:t>
      </w:r>
      <w:r>
        <w:rPr>
          <w:rFonts w:ascii="Times New Roman" w:hAnsi="Times New Roman"/>
          <w:sz w:val="28"/>
          <w:szCs w:val="28"/>
        </w:rPr>
        <w:t>ою щодо інвентаризації земельних ділянок, які розташовані</w:t>
      </w:r>
      <w:r w:rsidRPr="003625EB">
        <w:rPr>
          <w:rFonts w:ascii="Times New Roman" w:hAnsi="Times New Roman"/>
          <w:sz w:val="28"/>
          <w:szCs w:val="28"/>
        </w:rPr>
        <w:t xml:space="preserve"> на території Ананьївської міської територіальної громади для </w:t>
      </w:r>
      <w:r>
        <w:rPr>
          <w:rFonts w:ascii="Times New Roman" w:hAnsi="Times New Roman"/>
          <w:sz w:val="28"/>
          <w:szCs w:val="28"/>
        </w:rPr>
        <w:t>ведення товарного сільськогосподарського виробництва</w:t>
      </w:r>
      <w:r w:rsidRPr="00362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загальною </w:t>
      </w:r>
      <w:r w:rsidRPr="003625EB">
        <w:rPr>
          <w:rFonts w:ascii="Times New Roman" w:hAnsi="Times New Roman"/>
          <w:sz w:val="28"/>
          <w:szCs w:val="28"/>
        </w:rPr>
        <w:t xml:space="preserve">орієнтовною площею </w:t>
      </w:r>
      <w:r>
        <w:rPr>
          <w:rFonts w:ascii="Times New Roman" w:hAnsi="Times New Roman"/>
          <w:sz w:val="28"/>
          <w:szCs w:val="28"/>
        </w:rPr>
        <w:t xml:space="preserve">9,0000 га, </w:t>
      </w:r>
      <w:r w:rsidRPr="00206C83">
        <w:rPr>
          <w:rFonts w:ascii="Times New Roman" w:hAnsi="Times New Roman"/>
          <w:sz w:val="28"/>
          <w:szCs w:val="28"/>
        </w:rPr>
        <w:t xml:space="preserve">згідно </w:t>
      </w:r>
      <w:r>
        <w:rPr>
          <w:rFonts w:ascii="Times New Roman" w:hAnsi="Times New Roman"/>
          <w:sz w:val="28"/>
          <w:szCs w:val="28"/>
        </w:rPr>
        <w:t>додатку та графічних матеріалів, що додаються.</w:t>
      </w:r>
    </w:p>
    <w:p w:rsidR="00DA7D39" w:rsidRPr="00521B54" w:rsidRDefault="00DA7D39" w:rsidP="00DA7D39">
      <w:pPr>
        <w:pStyle w:val="a6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A7D39" w:rsidRPr="00650AB8" w:rsidRDefault="00DA7D39" w:rsidP="00DA7D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0994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FB0994">
        <w:rPr>
          <w:rFonts w:ascii="Times New Roman" w:eastAsia="MS Mincho" w:hAnsi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озроблені технічні документації</w:t>
      </w:r>
      <w:r w:rsidRPr="00FB09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>із землеустр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ою щодо інвентаризації земельних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для розгляду та затвердження на сесію</w:t>
      </w:r>
      <w:r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Ананьївської міської ради у встановленому порядку. </w:t>
      </w:r>
    </w:p>
    <w:p w:rsidR="00DA7D39" w:rsidRPr="00FB0994" w:rsidRDefault="00DA7D39" w:rsidP="00DA7D39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A7D39" w:rsidRPr="00FB0994" w:rsidRDefault="00DA7D39" w:rsidP="00DA7D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B0994">
        <w:rPr>
          <w:rFonts w:ascii="Times New Roman" w:hAnsi="Times New Roman"/>
          <w:sz w:val="28"/>
          <w:szCs w:val="28"/>
          <w:lang w:eastAsia="ar-SA"/>
        </w:rPr>
        <w:t>3</w:t>
      </w:r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FB0994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FB0994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DA7D39" w:rsidRDefault="00DA7D39" w:rsidP="00DA7D3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DA7D39" w:rsidRDefault="00DA7D39" w:rsidP="00DA7D3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DA7D39" w:rsidRPr="00FB0994" w:rsidRDefault="00DA7D39" w:rsidP="00DA7D3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DA7D39" w:rsidRDefault="00DA7D39" w:rsidP="00DA7D3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825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Ананьївський міський голова                                                Юрій ТИЩЕНКО</w:t>
      </w:r>
    </w:p>
    <w:p w:rsidR="00DA7D39" w:rsidRDefault="00DA7D39" w:rsidP="00DA7D3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DA7D39" w:rsidRDefault="00DA7D39" w:rsidP="00DA7D3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DA7D39" w:rsidRDefault="00DA7D39" w:rsidP="00DA7D3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DA7D39" w:rsidRDefault="00DA7D39" w:rsidP="00DA7D3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DA7D39" w:rsidRDefault="00DA7D39" w:rsidP="00DA7D3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DA7D39" w:rsidRPr="006F55FD" w:rsidRDefault="00DA7D39" w:rsidP="00DA7D39">
      <w:pPr>
        <w:pStyle w:val="a6"/>
        <w:ind w:left="6237"/>
        <w:rPr>
          <w:rFonts w:ascii="Times New Roman" w:hAnsi="Times New Roman"/>
          <w:b/>
          <w:sz w:val="28"/>
          <w:szCs w:val="28"/>
          <w:lang w:eastAsia="uk-UA"/>
        </w:rPr>
      </w:pPr>
      <w:r w:rsidRPr="006F55FD">
        <w:rPr>
          <w:rFonts w:ascii="Times New Roman" w:hAnsi="Times New Roman"/>
          <w:b/>
          <w:sz w:val="28"/>
          <w:szCs w:val="28"/>
          <w:lang w:eastAsia="uk-UA"/>
        </w:rPr>
        <w:lastRenderedPageBreak/>
        <w:t xml:space="preserve">Додаток </w:t>
      </w:r>
    </w:p>
    <w:p w:rsidR="00DA7D39" w:rsidRPr="006F55FD" w:rsidRDefault="00DA7D39" w:rsidP="00DA7D39">
      <w:pPr>
        <w:pStyle w:val="a6"/>
        <w:ind w:left="6237"/>
        <w:rPr>
          <w:rFonts w:ascii="Times New Roman" w:hAnsi="Times New Roman"/>
          <w:sz w:val="28"/>
          <w:szCs w:val="28"/>
          <w:lang w:eastAsia="ar-SA"/>
        </w:rPr>
      </w:pPr>
      <w:r w:rsidRPr="006F55FD">
        <w:rPr>
          <w:rFonts w:ascii="Times New Roman" w:hAnsi="Times New Roman"/>
          <w:sz w:val="28"/>
          <w:szCs w:val="28"/>
          <w:lang w:eastAsia="ar-SA"/>
        </w:rPr>
        <w:t>до рішення Ананьївської міської ради</w:t>
      </w:r>
    </w:p>
    <w:p w:rsidR="00DA7D39" w:rsidRPr="00DA7D39" w:rsidRDefault="00DA7D39" w:rsidP="00DA7D39">
      <w:pPr>
        <w:spacing w:after="0" w:line="240" w:lineRule="auto"/>
        <w:ind w:left="5529"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A7D3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DA7D39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DA7D39">
        <w:rPr>
          <w:rFonts w:ascii="Times New Roman" w:eastAsia="Times New Roman" w:hAnsi="Times New Roman"/>
          <w:bCs/>
          <w:sz w:val="28"/>
          <w:szCs w:val="28"/>
        </w:rPr>
        <w:tab/>
      </w:r>
    </w:p>
    <w:p w:rsidR="00DA7D39" w:rsidRPr="00DA7D39" w:rsidRDefault="00DA7D39" w:rsidP="00DA7D39">
      <w:pPr>
        <w:spacing w:after="0" w:line="240" w:lineRule="auto"/>
        <w:ind w:left="5529" w:firstLine="708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DA7D39">
        <w:rPr>
          <w:rFonts w:ascii="Times New Roman" w:eastAsia="Times New Roman" w:hAnsi="Times New Roman"/>
          <w:bCs/>
          <w:sz w:val="28"/>
          <w:szCs w:val="28"/>
        </w:rPr>
        <w:t>№ 1319-</w:t>
      </w:r>
      <w:r w:rsidRPr="00DA7D39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DA7D39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DA7D39" w:rsidRDefault="00DA7D39" w:rsidP="00DA7D39">
      <w:pPr>
        <w:spacing w:after="0" w:line="240" w:lineRule="auto"/>
        <w:ind w:left="5529" w:hanging="552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DA7D39" w:rsidRDefault="00DA7D39" w:rsidP="00DA7D39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A7D39" w:rsidRDefault="00DA7D39" w:rsidP="00DA7D39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256D40">
        <w:rPr>
          <w:rFonts w:ascii="Times New Roman" w:eastAsia="Times New Roman" w:hAnsi="Times New Roman"/>
          <w:sz w:val="28"/>
          <w:szCs w:val="28"/>
          <w:lang w:val="ru-RU" w:eastAsia="ru-RU"/>
        </w:rPr>
        <w:t>Перелік</w:t>
      </w:r>
      <w:proofErr w:type="spellEnd"/>
      <w:r w:rsidRPr="00256D4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56D40">
        <w:rPr>
          <w:rFonts w:ascii="Times New Roman" w:eastAsia="Times New Roman" w:hAnsi="Times New Roman"/>
          <w:sz w:val="28"/>
          <w:szCs w:val="28"/>
          <w:lang w:val="ru-RU" w:eastAsia="ru-RU"/>
        </w:rPr>
        <w:t>земельних</w:t>
      </w:r>
      <w:proofErr w:type="spellEnd"/>
      <w:r w:rsidRPr="00256D4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56D40">
        <w:rPr>
          <w:rFonts w:ascii="Times New Roman" w:eastAsia="Times New Roman" w:hAnsi="Times New Roman"/>
          <w:sz w:val="28"/>
          <w:szCs w:val="28"/>
          <w:lang w:val="ru-RU" w:eastAsia="ru-RU"/>
        </w:rPr>
        <w:t>ділянок</w:t>
      </w:r>
      <w:proofErr w:type="spellEnd"/>
      <w:r w:rsidRPr="00256D4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56D40">
        <w:rPr>
          <w:rFonts w:ascii="Times New Roman" w:eastAsia="Times New Roman" w:hAnsi="Times New Roman"/>
          <w:sz w:val="28"/>
          <w:szCs w:val="28"/>
          <w:lang w:val="ru-RU" w:eastAsia="ru-RU"/>
        </w:rPr>
        <w:t>комунальної</w:t>
      </w:r>
      <w:proofErr w:type="spellEnd"/>
      <w:r w:rsidRPr="00256D4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56D40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Pr="00256D4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DA7D39" w:rsidRDefault="00DA7D39" w:rsidP="00DA7D39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56D4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Ананьївської </w:t>
      </w:r>
      <w:proofErr w:type="spellStart"/>
      <w:r w:rsidRPr="00256D40"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256D4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56D40">
        <w:rPr>
          <w:rFonts w:ascii="Times New Roman" w:eastAsia="Times New Roman" w:hAnsi="Times New Roman"/>
          <w:sz w:val="28"/>
          <w:szCs w:val="28"/>
          <w:lang w:val="ru-RU" w:eastAsia="ru-RU"/>
        </w:rPr>
        <w:t>територіальної</w:t>
      </w:r>
      <w:proofErr w:type="spellEnd"/>
      <w:r w:rsidRPr="00256D4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56D40">
        <w:rPr>
          <w:rFonts w:ascii="Times New Roman" w:eastAsia="Times New Roman" w:hAnsi="Times New Roman"/>
          <w:sz w:val="28"/>
          <w:szCs w:val="28"/>
          <w:lang w:val="ru-RU" w:eastAsia="ru-RU"/>
        </w:rPr>
        <w:t>громади</w:t>
      </w:r>
      <w:proofErr w:type="spellEnd"/>
    </w:p>
    <w:p w:rsidR="00DA7D39" w:rsidRDefault="00DA7D39" w:rsidP="00DA7D39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895"/>
        <w:gridCol w:w="3285"/>
      </w:tblGrid>
      <w:tr w:rsidR="00DA7D39" w:rsidTr="00D262A0">
        <w:tc>
          <w:tcPr>
            <w:tcW w:w="675" w:type="dxa"/>
          </w:tcPr>
          <w:p w:rsidR="00DA7D39" w:rsidRDefault="00DA7D39" w:rsidP="00D262A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№ з/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</w:p>
        </w:tc>
        <w:tc>
          <w:tcPr>
            <w:tcW w:w="5895" w:type="dxa"/>
          </w:tcPr>
          <w:p w:rsidR="00DA7D39" w:rsidRDefault="00DA7D39" w:rsidP="00D262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КОАТУУ</w:t>
            </w:r>
          </w:p>
        </w:tc>
        <w:tc>
          <w:tcPr>
            <w:tcW w:w="3285" w:type="dxa"/>
          </w:tcPr>
          <w:p w:rsidR="00DA7D39" w:rsidRDefault="00DA7D39" w:rsidP="00D262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Площа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 га</w:t>
            </w:r>
          </w:p>
        </w:tc>
      </w:tr>
      <w:tr w:rsidR="00DA7D39" w:rsidTr="00D262A0">
        <w:tc>
          <w:tcPr>
            <w:tcW w:w="675" w:type="dxa"/>
          </w:tcPr>
          <w:p w:rsidR="00DA7D39" w:rsidRDefault="00DA7D39" w:rsidP="00D262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895" w:type="dxa"/>
          </w:tcPr>
          <w:p w:rsidR="00DA7D39" w:rsidRDefault="00DA7D39" w:rsidP="00D262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5120285000</w:t>
            </w:r>
          </w:p>
        </w:tc>
        <w:tc>
          <w:tcPr>
            <w:tcW w:w="3285" w:type="dxa"/>
          </w:tcPr>
          <w:p w:rsidR="00DA7D39" w:rsidRDefault="00DA7D39" w:rsidP="00D262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4,3000</w:t>
            </w:r>
          </w:p>
        </w:tc>
      </w:tr>
      <w:tr w:rsidR="00DA7D39" w:rsidTr="00D262A0">
        <w:tc>
          <w:tcPr>
            <w:tcW w:w="675" w:type="dxa"/>
          </w:tcPr>
          <w:p w:rsidR="00DA7D39" w:rsidRDefault="00DA7D39" w:rsidP="00D262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895" w:type="dxa"/>
          </w:tcPr>
          <w:p w:rsidR="00DA7D39" w:rsidRDefault="00DA7D39" w:rsidP="00D262A0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5120282000</w:t>
            </w:r>
          </w:p>
        </w:tc>
        <w:tc>
          <w:tcPr>
            <w:tcW w:w="3285" w:type="dxa"/>
          </w:tcPr>
          <w:p w:rsidR="00DA7D39" w:rsidRDefault="00DA7D39" w:rsidP="00D262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1,7000</w:t>
            </w:r>
          </w:p>
        </w:tc>
      </w:tr>
      <w:tr w:rsidR="00DA7D39" w:rsidTr="00D262A0">
        <w:tc>
          <w:tcPr>
            <w:tcW w:w="675" w:type="dxa"/>
          </w:tcPr>
          <w:p w:rsidR="00DA7D39" w:rsidRDefault="00DA7D39" w:rsidP="00D262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895" w:type="dxa"/>
          </w:tcPr>
          <w:p w:rsidR="00DA7D39" w:rsidRDefault="00DA7D39" w:rsidP="00D262A0">
            <w:pPr>
              <w:jc w:val="center"/>
            </w:pPr>
            <w:r w:rsidRPr="000B470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5120282000</w:t>
            </w:r>
          </w:p>
        </w:tc>
        <w:tc>
          <w:tcPr>
            <w:tcW w:w="3285" w:type="dxa"/>
          </w:tcPr>
          <w:p w:rsidR="00DA7D39" w:rsidRDefault="00DA7D39" w:rsidP="00D262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1,3000</w:t>
            </w:r>
          </w:p>
        </w:tc>
      </w:tr>
      <w:tr w:rsidR="00DA7D39" w:rsidTr="00D262A0">
        <w:tc>
          <w:tcPr>
            <w:tcW w:w="675" w:type="dxa"/>
          </w:tcPr>
          <w:p w:rsidR="00DA7D39" w:rsidRDefault="00DA7D39" w:rsidP="00D262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895" w:type="dxa"/>
          </w:tcPr>
          <w:p w:rsidR="00DA7D39" w:rsidRDefault="00DA7D39" w:rsidP="00D262A0">
            <w:pPr>
              <w:jc w:val="center"/>
            </w:pPr>
            <w:r w:rsidRPr="000B470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5120282000</w:t>
            </w:r>
          </w:p>
        </w:tc>
        <w:tc>
          <w:tcPr>
            <w:tcW w:w="3285" w:type="dxa"/>
          </w:tcPr>
          <w:p w:rsidR="00DA7D39" w:rsidRDefault="00DA7D39" w:rsidP="00D262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0,7000</w:t>
            </w:r>
          </w:p>
        </w:tc>
      </w:tr>
      <w:tr w:rsidR="00DA7D39" w:rsidTr="00D262A0">
        <w:tc>
          <w:tcPr>
            <w:tcW w:w="675" w:type="dxa"/>
          </w:tcPr>
          <w:p w:rsidR="00DA7D39" w:rsidRDefault="00DA7D39" w:rsidP="00D262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895" w:type="dxa"/>
          </w:tcPr>
          <w:p w:rsidR="00DA7D39" w:rsidRDefault="00DA7D39" w:rsidP="00D262A0">
            <w:pPr>
              <w:jc w:val="center"/>
            </w:pPr>
            <w:r w:rsidRPr="000B470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5120282000</w:t>
            </w:r>
          </w:p>
        </w:tc>
        <w:tc>
          <w:tcPr>
            <w:tcW w:w="3285" w:type="dxa"/>
          </w:tcPr>
          <w:p w:rsidR="00DA7D39" w:rsidRDefault="00DA7D39" w:rsidP="00D262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1,0000</w:t>
            </w:r>
          </w:p>
        </w:tc>
      </w:tr>
    </w:tbl>
    <w:p w:rsidR="00DA7D39" w:rsidRDefault="00DA7D39" w:rsidP="00DA7D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A7D39" w:rsidRPr="00876021" w:rsidRDefault="00DA7D39" w:rsidP="00DA7D39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B04D1" w:rsidRPr="00876021" w:rsidRDefault="009B04D1" w:rsidP="00DA7D39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sectPr w:rsidR="009B04D1" w:rsidRPr="00876021" w:rsidSect="00506623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01D"/>
    <w:multiLevelType w:val="hybridMultilevel"/>
    <w:tmpl w:val="FADEB7A4"/>
    <w:lvl w:ilvl="0" w:tplc="53EA8F90">
      <w:start w:val="1"/>
      <w:numFmt w:val="decimal"/>
      <w:lvlText w:val="%1."/>
      <w:lvlJc w:val="left"/>
      <w:pPr>
        <w:ind w:left="1824" w:hanging="1116"/>
      </w:pPr>
      <w:rPr>
        <w:rFonts w:eastAsia="MS Mincho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D"/>
    <w:rsid w:val="0000138D"/>
    <w:rsid w:val="000016D3"/>
    <w:rsid w:val="0000176C"/>
    <w:rsid w:val="00033322"/>
    <w:rsid w:val="00057EE1"/>
    <w:rsid w:val="00064564"/>
    <w:rsid w:val="000729B4"/>
    <w:rsid w:val="000B7438"/>
    <w:rsid w:val="000D5F05"/>
    <w:rsid w:val="000F7007"/>
    <w:rsid w:val="00116411"/>
    <w:rsid w:val="00125B74"/>
    <w:rsid w:val="0016151D"/>
    <w:rsid w:val="00173DC8"/>
    <w:rsid w:val="0019552C"/>
    <w:rsid w:val="001A5CE8"/>
    <w:rsid w:val="001D05E5"/>
    <w:rsid w:val="001E5A82"/>
    <w:rsid w:val="001F2D5E"/>
    <w:rsid w:val="002065DD"/>
    <w:rsid w:val="00206C83"/>
    <w:rsid w:val="00212DEC"/>
    <w:rsid w:val="002303EA"/>
    <w:rsid w:val="00232334"/>
    <w:rsid w:val="00256D40"/>
    <w:rsid w:val="002A5D63"/>
    <w:rsid w:val="002B1859"/>
    <w:rsid w:val="002C62AD"/>
    <w:rsid w:val="002C6BE6"/>
    <w:rsid w:val="002D616E"/>
    <w:rsid w:val="002E27C6"/>
    <w:rsid w:val="002E53C3"/>
    <w:rsid w:val="002F3084"/>
    <w:rsid w:val="003625EB"/>
    <w:rsid w:val="00371C27"/>
    <w:rsid w:val="0038669D"/>
    <w:rsid w:val="003B4AA1"/>
    <w:rsid w:val="003B4F1D"/>
    <w:rsid w:val="003F6353"/>
    <w:rsid w:val="0040416E"/>
    <w:rsid w:val="00423AC5"/>
    <w:rsid w:val="004A563A"/>
    <w:rsid w:val="004C0B7E"/>
    <w:rsid w:val="00506623"/>
    <w:rsid w:val="00521B54"/>
    <w:rsid w:val="00522F94"/>
    <w:rsid w:val="005276A6"/>
    <w:rsid w:val="005407FA"/>
    <w:rsid w:val="00544812"/>
    <w:rsid w:val="0054481F"/>
    <w:rsid w:val="00556BCA"/>
    <w:rsid w:val="00563465"/>
    <w:rsid w:val="005663CE"/>
    <w:rsid w:val="0057645A"/>
    <w:rsid w:val="00583382"/>
    <w:rsid w:val="005A48EE"/>
    <w:rsid w:val="005C54F7"/>
    <w:rsid w:val="005E39B3"/>
    <w:rsid w:val="005E560D"/>
    <w:rsid w:val="00627BF2"/>
    <w:rsid w:val="00657BA0"/>
    <w:rsid w:val="0068251A"/>
    <w:rsid w:val="006936C7"/>
    <w:rsid w:val="006A3FFD"/>
    <w:rsid w:val="006A53B0"/>
    <w:rsid w:val="006B096C"/>
    <w:rsid w:val="006B5352"/>
    <w:rsid w:val="006C0B27"/>
    <w:rsid w:val="006F3FFA"/>
    <w:rsid w:val="006F62AD"/>
    <w:rsid w:val="00726E2B"/>
    <w:rsid w:val="007471FD"/>
    <w:rsid w:val="00761F24"/>
    <w:rsid w:val="007E0C87"/>
    <w:rsid w:val="007E21B6"/>
    <w:rsid w:val="007F5B2E"/>
    <w:rsid w:val="00815DFD"/>
    <w:rsid w:val="0082069D"/>
    <w:rsid w:val="008426A2"/>
    <w:rsid w:val="00876021"/>
    <w:rsid w:val="008860B3"/>
    <w:rsid w:val="00886874"/>
    <w:rsid w:val="008A3CAF"/>
    <w:rsid w:val="008B081D"/>
    <w:rsid w:val="008B28D3"/>
    <w:rsid w:val="008B6046"/>
    <w:rsid w:val="008C7104"/>
    <w:rsid w:val="008D36D5"/>
    <w:rsid w:val="008E2C96"/>
    <w:rsid w:val="008F759E"/>
    <w:rsid w:val="00935195"/>
    <w:rsid w:val="00960C1C"/>
    <w:rsid w:val="00967A94"/>
    <w:rsid w:val="00994FD5"/>
    <w:rsid w:val="009B04D1"/>
    <w:rsid w:val="009D3C7E"/>
    <w:rsid w:val="009D4058"/>
    <w:rsid w:val="009E0A09"/>
    <w:rsid w:val="009F14D8"/>
    <w:rsid w:val="00A06BB6"/>
    <w:rsid w:val="00A24E27"/>
    <w:rsid w:val="00A44B13"/>
    <w:rsid w:val="00A54B4D"/>
    <w:rsid w:val="00A66D19"/>
    <w:rsid w:val="00A80F25"/>
    <w:rsid w:val="00AB0E91"/>
    <w:rsid w:val="00AB7E2B"/>
    <w:rsid w:val="00AD4265"/>
    <w:rsid w:val="00AE0C53"/>
    <w:rsid w:val="00AE3B1C"/>
    <w:rsid w:val="00AF5F21"/>
    <w:rsid w:val="00B0410D"/>
    <w:rsid w:val="00B21037"/>
    <w:rsid w:val="00B36669"/>
    <w:rsid w:val="00B44E77"/>
    <w:rsid w:val="00B839B0"/>
    <w:rsid w:val="00B85DCF"/>
    <w:rsid w:val="00B92781"/>
    <w:rsid w:val="00BD26E3"/>
    <w:rsid w:val="00C007B5"/>
    <w:rsid w:val="00C00DE3"/>
    <w:rsid w:val="00C13FC0"/>
    <w:rsid w:val="00C42F2F"/>
    <w:rsid w:val="00C44C32"/>
    <w:rsid w:val="00C54F02"/>
    <w:rsid w:val="00C62F16"/>
    <w:rsid w:val="00C67AE8"/>
    <w:rsid w:val="00CA421F"/>
    <w:rsid w:val="00CB795D"/>
    <w:rsid w:val="00CE0633"/>
    <w:rsid w:val="00CE145A"/>
    <w:rsid w:val="00D01779"/>
    <w:rsid w:val="00D11EF5"/>
    <w:rsid w:val="00D14283"/>
    <w:rsid w:val="00D1466D"/>
    <w:rsid w:val="00D1497E"/>
    <w:rsid w:val="00D2512D"/>
    <w:rsid w:val="00D32D8D"/>
    <w:rsid w:val="00D86B79"/>
    <w:rsid w:val="00DA7D39"/>
    <w:rsid w:val="00DC27CD"/>
    <w:rsid w:val="00E3771E"/>
    <w:rsid w:val="00E43406"/>
    <w:rsid w:val="00E44FC8"/>
    <w:rsid w:val="00E55C2C"/>
    <w:rsid w:val="00E674A4"/>
    <w:rsid w:val="00E75FF7"/>
    <w:rsid w:val="00E832BF"/>
    <w:rsid w:val="00E83D5D"/>
    <w:rsid w:val="00E84854"/>
    <w:rsid w:val="00E9046C"/>
    <w:rsid w:val="00E9401A"/>
    <w:rsid w:val="00EC2B14"/>
    <w:rsid w:val="00EC627B"/>
    <w:rsid w:val="00F10371"/>
    <w:rsid w:val="00F33B32"/>
    <w:rsid w:val="00F53626"/>
    <w:rsid w:val="00F63153"/>
    <w:rsid w:val="00F80DFD"/>
    <w:rsid w:val="00F90C3D"/>
    <w:rsid w:val="00F91AD5"/>
    <w:rsid w:val="00FB0994"/>
    <w:rsid w:val="00FC3FD5"/>
    <w:rsid w:val="00FD4EB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2024-09-02T11:33:00Z</cp:lastPrinted>
  <dcterms:created xsi:type="dcterms:W3CDTF">2024-11-11T12:17:00Z</dcterms:created>
  <dcterms:modified xsi:type="dcterms:W3CDTF">2024-11-20T08:38:00Z</dcterms:modified>
</cp:coreProperties>
</file>