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53" w:rsidRDefault="00B80E53" w:rsidP="00B80E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87B4934" wp14:editId="3CB41AE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53" w:rsidRDefault="00B80E53" w:rsidP="00B80E5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80E53" w:rsidRDefault="00B80E53" w:rsidP="00B80E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80E53" w:rsidRDefault="00B80E53" w:rsidP="00B80E5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80E53" w:rsidRDefault="00B80E53" w:rsidP="00B80E5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80E53" w:rsidRDefault="00B80E53" w:rsidP="00B80E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жовтня </w:t>
      </w:r>
      <w:r>
        <w:rPr>
          <w:rFonts w:ascii="Times New Roman" w:hAnsi="Times New Roman"/>
          <w:sz w:val="28"/>
          <w:szCs w:val="28"/>
          <w:lang w:val="ru-RU"/>
        </w:rPr>
        <w:t>2024 року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ІІІ</w:t>
      </w:r>
    </w:p>
    <w:p w:rsidR="00BC24C4" w:rsidRPr="00BC24C4" w:rsidRDefault="00BC24C4" w:rsidP="00BC24C4">
      <w:pPr>
        <w:keepNext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BC24C4" w:rsidRPr="00BC24C4" w:rsidRDefault="00BC24C4" w:rsidP="00BC24C4">
      <w:pP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uk-UA"/>
        </w:rPr>
      </w:pPr>
      <w:r w:rsidRPr="00BC24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 затвердження цільової </w:t>
      </w:r>
      <w:r w:rsidRPr="00BC24C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uk-UA"/>
        </w:rPr>
        <w:t>Програми  утримання об’єктів та майна комунальної власності Ананьївської міської територіальної громади</w:t>
      </w:r>
    </w:p>
    <w:p w:rsidR="00BC24C4" w:rsidRPr="00BC24C4" w:rsidRDefault="00BC24C4" w:rsidP="00BC24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C24C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uk-UA"/>
        </w:rPr>
        <w:t xml:space="preserve"> на 2024-2025 роки</w:t>
      </w:r>
    </w:p>
    <w:p w:rsidR="00BC24C4" w:rsidRPr="00BC24C4" w:rsidRDefault="00BC24C4" w:rsidP="00BC24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24C4" w:rsidRPr="00BC24C4" w:rsidRDefault="00BC24C4" w:rsidP="00BC24C4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24C4">
        <w:rPr>
          <w:lang w:eastAsia="ru-RU"/>
        </w:rPr>
        <w:t xml:space="preserve"> </w:t>
      </w:r>
      <w:r w:rsidRPr="00BC24C4">
        <w:rPr>
          <w:rFonts w:ascii="Times New Roman" w:hAnsi="Times New Roman"/>
          <w:sz w:val="28"/>
          <w:szCs w:val="28"/>
          <w:lang w:eastAsia="ru-RU"/>
        </w:rPr>
        <w:t xml:space="preserve">Відповідно до </w:t>
      </w:r>
      <w:r w:rsidRPr="00BC24C4">
        <w:rPr>
          <w:rFonts w:ascii="Times New Roman" w:hAnsi="Times New Roman"/>
          <w:sz w:val="28"/>
          <w:szCs w:val="28"/>
          <w:shd w:val="clear" w:color="auto" w:fill="FFFFFF"/>
          <w:lang w:eastAsia="uk-UA" w:bidi="uk-UA"/>
        </w:rPr>
        <w:t>пункту 22 частини першої статті 26 Закону України «Про місцеве самоврядування в Україні», керуючись законами України «Про оренду державного та комунального майна», «Про приватизацію державного та комунального майна», Бюджетним кодексом України, статтею 89 Господарського кодексу України, Цивільним кодексом України</w:t>
      </w:r>
      <w:r w:rsidRPr="00BC24C4">
        <w:rPr>
          <w:rFonts w:ascii="Times New Roman" w:hAnsi="Times New Roman"/>
          <w:sz w:val="28"/>
          <w:szCs w:val="28"/>
          <w:lang w:eastAsia="ru-RU"/>
        </w:rPr>
        <w:t>, враховуючи рішення виконавчого комітету Ананьївської міської ради від 24 жовтня  2024 року</w:t>
      </w:r>
      <w:r w:rsidRPr="00BC24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A2876">
        <w:rPr>
          <w:rFonts w:ascii="Times New Roman" w:hAnsi="Times New Roman"/>
          <w:sz w:val="28"/>
          <w:szCs w:val="28"/>
          <w:lang w:eastAsia="ru-RU"/>
        </w:rPr>
        <w:t>№</w:t>
      </w:r>
      <w:r w:rsidRPr="00BC24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C24C4">
        <w:rPr>
          <w:rFonts w:ascii="Times New Roman" w:hAnsi="Times New Roman"/>
          <w:sz w:val="28"/>
          <w:szCs w:val="28"/>
          <w:lang w:eastAsia="ru-RU"/>
        </w:rPr>
        <w:t xml:space="preserve">  «Про схвалення </w:t>
      </w:r>
      <w:proofErr w:type="spellStart"/>
      <w:r w:rsidRPr="00BC24C4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BC24C4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</w:t>
      </w:r>
      <w:r w:rsidRPr="00BC24C4">
        <w:rPr>
          <w:rFonts w:ascii="Times New Roman" w:hAnsi="Times New Roman"/>
          <w:bCs/>
          <w:sz w:val="28"/>
          <w:szCs w:val="28"/>
          <w:lang w:eastAsia="ru-RU" w:bidi="uk-UA"/>
        </w:rPr>
        <w:t>«Про затвердження цільової Програми  утримання об’єктів та майна комунальної власності Ананьївської міської територіальної громади на 2024-2025 роки</w:t>
      </w:r>
      <w:r w:rsidRPr="00BC24C4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BC24C4" w:rsidRPr="00BC24C4" w:rsidRDefault="00BC24C4" w:rsidP="00BC2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4C4" w:rsidRPr="00BC24C4" w:rsidRDefault="00BC24C4" w:rsidP="00BC24C4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C24C4">
        <w:rPr>
          <w:rFonts w:ascii="Times New Roman" w:hAnsi="Times New Roman"/>
          <w:b/>
          <w:bCs/>
          <w:kern w:val="32"/>
          <w:sz w:val="28"/>
          <w:szCs w:val="28"/>
          <w:lang w:val="ru-RU" w:eastAsia="ru-RU"/>
        </w:rPr>
        <w:t xml:space="preserve">ВИРІШИЛА: </w:t>
      </w:r>
    </w:p>
    <w:p w:rsidR="00BC24C4" w:rsidRPr="00BC24C4" w:rsidRDefault="00BC24C4" w:rsidP="00BC24C4">
      <w:pPr>
        <w:tabs>
          <w:tab w:val="left" w:pos="1383"/>
        </w:tabs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C24C4" w:rsidRDefault="00BC24C4" w:rsidP="00BC24C4">
      <w:pPr>
        <w:widowControl w:val="0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Затвердити </w:t>
      </w:r>
      <w:r w:rsidRPr="00BC24C4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 w:bidi="uk-UA"/>
        </w:rPr>
        <w:t xml:space="preserve">цільову Програму  утримання об’єктів та майна комунальної власності Ананьївської міської територіальної громади на 2024-2025 роки, що </w:t>
      </w:r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додається.</w:t>
      </w:r>
    </w:p>
    <w:p w:rsidR="000259A5" w:rsidRPr="00F539B8" w:rsidRDefault="000259A5" w:rsidP="00F539B8">
      <w:pPr>
        <w:pStyle w:val="a5"/>
        <w:rPr>
          <w:lang w:eastAsia="ru-RU"/>
        </w:rPr>
      </w:pPr>
    </w:p>
    <w:p w:rsidR="00BC24C4" w:rsidRDefault="00BC24C4" w:rsidP="00BC24C4">
      <w:pPr>
        <w:widowControl w:val="0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Фінансовому управлінню  Ананьївської міської ради передбачити кошти для фінансування Програми під час підготовки </w:t>
      </w:r>
      <w:proofErr w:type="spellStart"/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проєктів</w:t>
      </w:r>
      <w:proofErr w:type="spellEnd"/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рішень про бюджет Ананьївської міської  територіальної громади та </w:t>
      </w:r>
      <w:proofErr w:type="spellStart"/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проєктів</w:t>
      </w:r>
      <w:proofErr w:type="spellEnd"/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рішень про внесення змін до бюджету Ананьївської міської територіальної громади на відповідний рік.</w:t>
      </w:r>
    </w:p>
    <w:p w:rsidR="000259A5" w:rsidRPr="00F539B8" w:rsidRDefault="000259A5" w:rsidP="00F539B8">
      <w:pPr>
        <w:pStyle w:val="a5"/>
        <w:rPr>
          <w:sz w:val="24"/>
          <w:szCs w:val="24"/>
          <w:lang w:eastAsia="ru-RU"/>
        </w:rPr>
      </w:pPr>
    </w:p>
    <w:p w:rsidR="00BC24C4" w:rsidRPr="00BC24C4" w:rsidRDefault="00BC24C4" w:rsidP="00BC24C4">
      <w:pPr>
        <w:widowControl w:val="0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Pr="00BC24C4">
        <w:rPr>
          <w:rFonts w:ascii="Times New Roman" w:hAnsi="Times New Roman"/>
          <w:sz w:val="28"/>
          <w:szCs w:val="28"/>
          <w:lang w:eastAsia="ru-RU"/>
        </w:rPr>
        <w:t xml:space="preserve">Ананьївської міської ради </w:t>
      </w:r>
      <w:r w:rsidRPr="00BC24C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з питань комунальної власності, житлово-комунального господарства, енергозбереження та транспорту </w:t>
      </w:r>
    </w:p>
    <w:p w:rsidR="00BC24C4" w:rsidRPr="00BC24C4" w:rsidRDefault="00BC24C4" w:rsidP="00BC24C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C24C4" w:rsidRPr="003A2876" w:rsidRDefault="00BC24C4" w:rsidP="00BC24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BC24C4" w:rsidRPr="003A2876" w:rsidRDefault="00BC24C4" w:rsidP="00BC24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F539B8" w:rsidRDefault="00F539B8" w:rsidP="00F539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E8B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BC24C4" w:rsidRPr="00F539B8" w:rsidRDefault="00BC24C4" w:rsidP="00BC24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C24C4" w:rsidRPr="00BC24C4" w:rsidRDefault="00BC24C4" w:rsidP="00BC24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</w:p>
    <w:p w:rsidR="00BC24C4" w:rsidRPr="00BC24C4" w:rsidRDefault="00BC24C4" w:rsidP="00BC24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</w:p>
    <w:p w:rsidR="00BC24C4" w:rsidRPr="00BC24C4" w:rsidRDefault="00BC24C4" w:rsidP="00BC24C4">
      <w:pPr>
        <w:keepNext/>
        <w:widowControl w:val="0"/>
        <w:spacing w:after="0" w:line="240" w:lineRule="auto"/>
        <w:ind w:left="6237" w:right="30"/>
        <w:outlineLvl w:val="1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 w:bidi="uk-UA"/>
        </w:rPr>
      </w:pPr>
      <w:r w:rsidRPr="00BC24C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 w:bidi="uk-UA"/>
        </w:rPr>
        <w:t>ЗАТВЕРДЖЕНО</w:t>
      </w:r>
    </w:p>
    <w:p w:rsidR="00BC24C4" w:rsidRPr="003A2876" w:rsidRDefault="00BC24C4" w:rsidP="00BC24C4">
      <w:pPr>
        <w:keepNext/>
        <w:widowControl w:val="0"/>
        <w:spacing w:after="0" w:line="240" w:lineRule="auto"/>
        <w:ind w:left="6237" w:right="30"/>
        <w:outlineLvl w:val="1"/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</w:pPr>
      <w:r w:rsidRPr="00BC24C4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  <w:t>рішення Ананьївської</w:t>
      </w:r>
    </w:p>
    <w:p w:rsidR="00BC24C4" w:rsidRPr="00BC24C4" w:rsidRDefault="00BC24C4" w:rsidP="00BC24C4">
      <w:pPr>
        <w:keepNext/>
        <w:widowControl w:val="0"/>
        <w:spacing w:after="0" w:line="240" w:lineRule="auto"/>
        <w:ind w:left="6237" w:right="30"/>
        <w:outlineLvl w:val="1"/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</w:pPr>
      <w:r w:rsidRPr="00BC24C4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  <w:t xml:space="preserve"> міської ради</w:t>
      </w:r>
    </w:p>
    <w:p w:rsidR="00BC24C4" w:rsidRPr="003A2876" w:rsidRDefault="00BC24C4" w:rsidP="00BC24C4">
      <w:pPr>
        <w:keepNext/>
        <w:widowControl w:val="0"/>
        <w:spacing w:after="0" w:line="240" w:lineRule="auto"/>
        <w:ind w:left="6237" w:right="30"/>
        <w:outlineLvl w:val="1"/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</w:pPr>
      <w:r w:rsidRPr="00BC24C4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  <w:t xml:space="preserve">від                  2024 року </w:t>
      </w:r>
    </w:p>
    <w:p w:rsidR="00BC24C4" w:rsidRPr="00BC24C4" w:rsidRDefault="00BC24C4" w:rsidP="00BC24C4">
      <w:pPr>
        <w:keepNext/>
        <w:widowControl w:val="0"/>
        <w:spacing w:after="0" w:line="240" w:lineRule="auto"/>
        <w:ind w:left="6237" w:right="30"/>
        <w:outlineLvl w:val="1"/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</w:pPr>
      <w:r w:rsidRPr="00BC24C4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uk-UA"/>
        </w:rPr>
        <w:t xml:space="preserve">№       - </w:t>
      </w:r>
      <w:r w:rsidRPr="00BC24C4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val="en-US" w:eastAsia="ru-RU" w:bidi="uk-UA"/>
        </w:rPr>
        <w:t>VIII</w:t>
      </w: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b/>
          <w:bCs/>
          <w:sz w:val="40"/>
          <w:szCs w:val="40"/>
          <w:lang w:eastAsia="uk-UA" w:bidi="uk-UA"/>
        </w:rPr>
        <w:t>Програма</w:t>
      </w:r>
      <w:r w:rsidRPr="00BC24C4">
        <w:rPr>
          <w:rFonts w:ascii="Times New Roman" w:eastAsia="Times New Roman" w:hAnsi="Times New Roman"/>
          <w:b/>
          <w:bCs/>
          <w:sz w:val="40"/>
          <w:szCs w:val="40"/>
          <w:lang w:eastAsia="uk-UA" w:bidi="uk-UA"/>
        </w:rPr>
        <w:br/>
      </w:r>
      <w:r w:rsidRPr="00BC24C4"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  <w:t>утримання об’єктів та майна комунальної власності</w:t>
      </w:r>
      <w:r w:rsidRPr="00BC24C4"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  <w:br/>
        <w:t>Ананьївської міської територіальної громади</w:t>
      </w:r>
      <w:r w:rsidRPr="00BC24C4"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  <w:t xml:space="preserve"> </w:t>
      </w: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  <w:r w:rsidRPr="00BC24C4"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  <w:t>на 2024 - 2025 роки</w:t>
      </w: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uk-UA" w:bidi="uk-UA"/>
        </w:rPr>
      </w:pPr>
    </w:p>
    <w:p w:rsid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val="en-US" w:eastAsia="uk-UA" w:bidi="uk-UA"/>
        </w:rPr>
      </w:pPr>
    </w:p>
    <w:p w:rsidR="00FE1288" w:rsidRDefault="00FE1288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val="en-US" w:eastAsia="uk-UA" w:bidi="uk-UA"/>
        </w:rPr>
      </w:pPr>
    </w:p>
    <w:p w:rsidR="00FE1288" w:rsidRPr="00BC24C4" w:rsidRDefault="00FE1288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val="en-US" w:eastAsia="uk-UA" w:bidi="uk-UA"/>
        </w:rPr>
      </w:pPr>
    </w:p>
    <w:p w:rsidR="00BC24C4" w:rsidRPr="00BC24C4" w:rsidRDefault="00BC24C4" w:rsidP="00BC24C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bCs/>
          <w:sz w:val="28"/>
          <w:szCs w:val="28"/>
          <w:lang w:eastAsia="uk-UA" w:bidi="uk-UA"/>
        </w:rPr>
        <w:t>Ананьїв - 2024</w:t>
      </w:r>
      <w:r w:rsidRPr="00BC24C4">
        <w:rPr>
          <w:rFonts w:ascii="Times New Roman" w:eastAsia="Times New Roman" w:hAnsi="Times New Roman"/>
          <w:bCs/>
          <w:sz w:val="28"/>
          <w:szCs w:val="28"/>
          <w:lang w:eastAsia="uk-UA" w:bidi="uk-UA"/>
        </w:rPr>
        <w:br w:type="page"/>
      </w:r>
    </w:p>
    <w:p w:rsidR="00BC24C4" w:rsidRPr="00BC24C4" w:rsidRDefault="00BC24C4" w:rsidP="00BC24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lastRenderedPageBreak/>
        <w:t>ПАСПОРТ</w:t>
      </w:r>
    </w:p>
    <w:p w:rsidR="00BC24C4" w:rsidRPr="00BC24C4" w:rsidRDefault="00BC24C4" w:rsidP="00BC24C4">
      <w:pPr>
        <w:widowControl w:val="0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>Програми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>утримання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  <w:t xml:space="preserve">об’єктів </w:t>
      </w:r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 xml:space="preserve">та майна </w:t>
      </w:r>
      <w:r w:rsidRPr="00BC24C4"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  <w:t>комунальної власності</w:t>
      </w:r>
      <w:r w:rsidRPr="00BC24C4"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  <w:br/>
        <w:t xml:space="preserve">Ананьївської міської </w:t>
      </w:r>
      <w:r w:rsidRPr="00BC24C4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територіальної </w:t>
      </w:r>
      <w:proofErr w:type="gramStart"/>
      <w:r w:rsidRPr="00BC24C4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громади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</w:t>
      </w:r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>на</w:t>
      </w:r>
      <w:proofErr w:type="gramEnd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 xml:space="preserve"> 2024 -2025 роки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77"/>
      </w:tblGrid>
      <w:tr w:rsidR="00BC24C4" w:rsidRPr="00BC24C4" w:rsidTr="00DB3E86">
        <w:trPr>
          <w:trHeight w:hRule="exact" w:val="130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Ініціатор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розроблення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  </w:t>
            </w:r>
            <w:r w:rsidR="00DB3E8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рограми</w:t>
            </w:r>
            <w:proofErr w:type="spellEnd"/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BC24C4" w:rsidRPr="00BC24C4" w:rsidTr="00DB3E86">
        <w:trPr>
          <w:trHeight w:hRule="exact" w:val="197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bCs/>
                <w:sz w:val="28"/>
                <w:szCs w:val="28"/>
                <w:lang w:eastAsia="uk-UA" w:bidi="uk-UA"/>
              </w:rPr>
              <w:t>Рішення виконавчого комітету Ананьївської міської ради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F539B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 w:themeColor="text1"/>
                <w:sz w:val="28"/>
                <w:szCs w:val="28"/>
                <w:lang w:eastAsia="uk-UA" w:bidi="uk-UA"/>
              </w:rPr>
            </w:pPr>
            <w:r w:rsidRPr="00F539B8">
              <w:rPr>
                <w:rFonts w:ascii="Times New Roman" w:eastAsia="Arial Unicode MS" w:hAnsi="Times New Roman"/>
                <w:bCs/>
                <w:iCs/>
                <w:sz w:val="28"/>
                <w:szCs w:val="28"/>
                <w:lang w:eastAsia="uk-UA" w:bidi="uk-UA"/>
              </w:rPr>
              <w:t xml:space="preserve">Від  </w:t>
            </w:r>
            <w:r w:rsidR="00F539B8">
              <w:rPr>
                <w:rFonts w:ascii="Times New Roman" w:eastAsia="Arial Unicode MS" w:hAnsi="Times New Roman"/>
                <w:bCs/>
                <w:iCs/>
                <w:sz w:val="28"/>
                <w:szCs w:val="28"/>
                <w:lang w:eastAsia="uk-UA" w:bidi="uk-UA"/>
              </w:rPr>
              <w:t>24</w:t>
            </w:r>
            <w:r w:rsidRPr="00F539B8">
              <w:rPr>
                <w:rFonts w:ascii="Times New Roman" w:eastAsia="Arial Unicode MS" w:hAnsi="Times New Roman"/>
                <w:bCs/>
                <w:iCs/>
                <w:sz w:val="28"/>
                <w:szCs w:val="28"/>
                <w:lang w:eastAsia="uk-UA" w:bidi="uk-UA"/>
              </w:rPr>
              <w:t xml:space="preserve">  жовтня  2024 року </w:t>
            </w:r>
            <w:r w:rsidRPr="00BC24C4">
              <w:rPr>
                <w:rFonts w:ascii="Times New Roman" w:eastAsia="Arial Unicode MS" w:hAnsi="Times New Roman"/>
                <w:bCs/>
                <w:iCs/>
                <w:color w:val="000000" w:themeColor="text1"/>
                <w:sz w:val="28"/>
                <w:szCs w:val="28"/>
                <w:lang w:eastAsia="uk-UA" w:bidi="uk-UA"/>
              </w:rPr>
              <w:t xml:space="preserve">№____ «Про схвалення </w:t>
            </w:r>
            <w:proofErr w:type="spellStart"/>
            <w:r w:rsidRPr="00BC24C4">
              <w:rPr>
                <w:rFonts w:ascii="Times New Roman" w:eastAsia="Arial Unicode MS" w:hAnsi="Times New Roman"/>
                <w:bCs/>
                <w:iCs/>
                <w:color w:val="000000" w:themeColor="text1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BC24C4">
              <w:rPr>
                <w:rFonts w:ascii="Times New Roman" w:eastAsia="Arial Unicode MS" w:hAnsi="Times New Roman"/>
                <w:bCs/>
                <w:iCs/>
                <w:color w:val="000000" w:themeColor="text1"/>
                <w:sz w:val="28"/>
                <w:szCs w:val="28"/>
                <w:lang w:eastAsia="uk-UA" w:bidi="uk-UA"/>
              </w:rPr>
              <w:t xml:space="preserve"> рішення Ананьївської міської ради «Про затвердження Програми утримання об’єктів та майна комунальної власності Ананьївської міської ради на 2024 - 2025 роки »</w:t>
            </w:r>
          </w:p>
        </w:tc>
      </w:tr>
      <w:tr w:rsidR="00BC24C4" w:rsidRPr="00BC24C4" w:rsidTr="007C7AE8">
        <w:trPr>
          <w:trHeight w:hRule="exact" w:val="143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BC24C4" w:rsidRPr="00BC24C4" w:rsidRDefault="00BC24C4" w:rsidP="00F539B8">
            <w:pPr>
              <w:widowControl w:val="0"/>
              <w:spacing w:after="0" w:line="240" w:lineRule="auto"/>
              <w:ind w:firstLine="69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Розробник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 </w:t>
            </w:r>
            <w:proofErr w:type="spellStart"/>
            <w:r w:rsidR="00DB3E86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П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рограми</w:t>
            </w:r>
            <w:proofErr w:type="spellEnd"/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BC24C4" w:rsidRPr="00BC24C4" w:rsidTr="007C7AE8">
        <w:trPr>
          <w:trHeight w:hRule="exact" w:val="38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Співрозробник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DB3E8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рограми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                   --</w:t>
            </w:r>
          </w:p>
        </w:tc>
      </w:tr>
      <w:tr w:rsidR="00BC24C4" w:rsidRPr="00BC24C4" w:rsidTr="00DB3E86">
        <w:trPr>
          <w:trHeight w:hRule="exact" w:val="2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</w:p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Відповідальний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виконавець</w:t>
            </w:r>
            <w:proofErr w:type="spellEnd"/>
          </w:p>
          <w:p w:rsidR="00BC24C4" w:rsidRPr="00BC24C4" w:rsidRDefault="00DB3E86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П</w:t>
            </w:r>
            <w:r w:rsidR="00BC24C4"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рограми</w:t>
            </w:r>
            <w:proofErr w:type="spellEnd"/>
            <w:r w:rsidR="00BC24C4"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ru-RU" w:bidi="uk-UA"/>
              </w:rPr>
              <w:t xml:space="preserve">Відділ з питань будівництва, житлово-комунального господарства та інфраструктури Ананьївської міської ради; комунальні установи - 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ru-RU" w:bidi="uk-UA"/>
              </w:rPr>
              <w:t>балансоутримувачі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ru-RU" w:bidi="uk-UA"/>
              </w:rPr>
              <w:t xml:space="preserve"> будівель і споруд уповноваженні управляти комунальним майном </w:t>
            </w:r>
          </w:p>
        </w:tc>
      </w:tr>
      <w:tr w:rsidR="00BC24C4" w:rsidRPr="00BC24C4" w:rsidTr="00F539B8">
        <w:trPr>
          <w:trHeight w:hRule="exact" w:val="98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Головний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розпорядник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кошті</w:t>
            </w:r>
            <w:proofErr w:type="gram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в</w:t>
            </w:r>
            <w:proofErr w:type="spellEnd"/>
            <w:proofErr w:type="gramEnd"/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F539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Виконавчі органи Ананьївської міської ради визначені рішенням про бюджет Ананьївської міської ради</w:t>
            </w:r>
          </w:p>
        </w:tc>
      </w:tr>
      <w:tr w:rsidR="00BC24C4" w:rsidRPr="00BC24C4" w:rsidTr="00DB3E86">
        <w:trPr>
          <w:trHeight w:hRule="exact" w:val="57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4C4" w:rsidRPr="00BC24C4" w:rsidRDefault="00BC24C4" w:rsidP="00F539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Учасники </w:t>
            </w:r>
            <w:r w:rsidR="00DB3E8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П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рограми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C4" w:rsidRPr="00BC24C4" w:rsidRDefault="00BC24C4" w:rsidP="00DB3E86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---</w:t>
            </w:r>
          </w:p>
        </w:tc>
      </w:tr>
      <w:tr w:rsidR="00BC24C4" w:rsidRPr="00BC24C4" w:rsidTr="007C7AE8">
        <w:trPr>
          <w:trHeight w:hRule="exact" w:val="42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Термін реалізації </w:t>
            </w:r>
            <w:r w:rsidR="00DB3E8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П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рограми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4C4" w:rsidRPr="00BC24C4" w:rsidRDefault="00BC24C4" w:rsidP="00DB3E86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2024-2025 роки</w:t>
            </w:r>
          </w:p>
        </w:tc>
      </w:tr>
      <w:tr w:rsidR="00BC24C4" w:rsidRPr="00BC24C4" w:rsidTr="00DB3E86">
        <w:trPr>
          <w:trHeight w:hRule="exact" w:val="42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Етапи виконання </w:t>
            </w:r>
            <w:r w:rsidR="00DB3E8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П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рограми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                               --</w:t>
            </w:r>
          </w:p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Бюджет Ананьївської міської територіальної громади </w:t>
            </w:r>
          </w:p>
        </w:tc>
      </w:tr>
      <w:tr w:rsidR="00BC24C4" w:rsidRPr="00BC24C4" w:rsidTr="007C7AE8">
        <w:trPr>
          <w:trHeight w:hRule="exact" w:val="65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24C4" w:rsidRPr="00BC24C4" w:rsidRDefault="00BC24C4" w:rsidP="00DB3E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Перелік місцевих бюджетів, які беруть участь у виконанні </w:t>
            </w:r>
            <w:r w:rsidR="00DB3E8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П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рограми 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Бюджет Ананьївської міської територіальної громади</w:t>
            </w:r>
          </w:p>
        </w:tc>
      </w:tr>
      <w:tr w:rsidR="00BC24C4" w:rsidRPr="00BC24C4" w:rsidTr="00DB3E86">
        <w:trPr>
          <w:trHeight w:hRule="exact" w:val="134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tabs>
                <w:tab w:val="left" w:pos="1848"/>
                <w:tab w:val="left" w:pos="31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Загальний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ab/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обсяг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ab/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фінансових</w:t>
            </w:r>
          </w:p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ресурсів, необхідних 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для </w:t>
            </w: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реалізації 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програми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,  у тому </w:t>
            </w:r>
            <w:proofErr w:type="spellStart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числі</w:t>
            </w:r>
            <w:proofErr w:type="spellEnd"/>
            <w:r w:rsidRPr="00BC24C4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Обсяг коштів визначається рішенням Ананьївської міської ради про бюджет територіальної громади на відповідний бюджетний рік</w:t>
            </w:r>
          </w:p>
        </w:tc>
      </w:tr>
      <w:tr w:rsidR="00BC24C4" w:rsidRPr="00BC24C4" w:rsidTr="00DB3E86">
        <w:trPr>
          <w:trHeight w:hRule="exact" w:val="97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коштів бюджету міської територіальної громади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Обсяг коштів визначається рішенням Ананьївської міської ради на відповідний бюджетний рік</w:t>
            </w:r>
          </w:p>
        </w:tc>
      </w:tr>
      <w:tr w:rsidR="00BC24C4" w:rsidRPr="00BC24C4" w:rsidTr="007C7AE8">
        <w:trPr>
          <w:trHeight w:hRule="exact" w:val="33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коштів інших джерел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4C4" w:rsidRPr="00BC24C4" w:rsidRDefault="00BC24C4" w:rsidP="00DB3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C24C4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--</w:t>
            </w:r>
          </w:p>
        </w:tc>
      </w:tr>
      <w:tr w:rsidR="00BC24C4" w:rsidRPr="00BC24C4" w:rsidTr="007C7AE8">
        <w:trPr>
          <w:trHeight w:hRule="exact" w:val="32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24C4" w:rsidRPr="00BC24C4" w:rsidRDefault="00BC24C4" w:rsidP="00DB3E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4C4" w:rsidRPr="00BC24C4" w:rsidRDefault="00BC24C4" w:rsidP="00DB3E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</w:p>
        </w:tc>
      </w:tr>
    </w:tbl>
    <w:p w:rsidR="00BC24C4" w:rsidRPr="00BC24C4" w:rsidRDefault="00BC24C4" w:rsidP="00BC24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sectPr w:rsidR="00BC24C4" w:rsidRPr="00BC24C4" w:rsidSect="00BC24C4">
          <w:pgSz w:w="11900" w:h="16840"/>
          <w:pgMar w:top="850" w:right="560" w:bottom="664" w:left="1701" w:header="422" w:footer="236" w:gutter="0"/>
          <w:pgNumType w:start="1"/>
          <w:cols w:space="720"/>
          <w:noEndnote/>
          <w:docGrid w:linePitch="360"/>
        </w:sectPr>
      </w:pPr>
    </w:p>
    <w:p w:rsidR="00BC24C4" w:rsidRPr="007B5CB5" w:rsidRDefault="00BC24C4" w:rsidP="00DB3E86">
      <w:pPr>
        <w:keepNext/>
        <w:keepLines/>
        <w:widowControl w:val="0"/>
        <w:numPr>
          <w:ilvl w:val="0"/>
          <w:numId w:val="1"/>
        </w:numPr>
        <w:tabs>
          <w:tab w:val="left" w:pos="31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  <w:lastRenderedPageBreak/>
        <w:t xml:space="preserve">Загальні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>положення</w:t>
      </w:r>
      <w:proofErr w:type="spellEnd"/>
    </w:p>
    <w:p w:rsidR="007B5CB5" w:rsidRPr="00BC24C4" w:rsidRDefault="007B5CB5" w:rsidP="007B5CB5">
      <w:pPr>
        <w:keepNext/>
        <w:keepLines/>
        <w:widowControl w:val="0"/>
        <w:tabs>
          <w:tab w:val="left" w:pos="318"/>
        </w:tabs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</w:pPr>
    </w:p>
    <w:p w:rsidR="00BC24C4" w:rsidRPr="00BC24C4" w:rsidRDefault="00BC24C4" w:rsidP="00DB3E8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Програма утримання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об’єктів та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майна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комунальної власності Ананьївської міської територіальної громади на 2024-2025 роки (далі - Програма) розроблена відповідно до Конституції України, Господарського кодексу України, Цивільного кодексу України, законів України «Про місцеве самоврядування в Україні», «Про оренду державного та комунального майна», з урахуванням законодавчих та нормативно-правових актів з питань управління та відчуження майна.</w:t>
      </w:r>
    </w:p>
    <w:p w:rsidR="00BC24C4" w:rsidRDefault="00BC24C4" w:rsidP="00DB3E8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Основною метою Програми є забезпечення ефективного використання утримання об’єктів і майна комунальної власності Ананьївської міської територіальної громади та уповноваженими нею органами, повноважень щодо реалізації прав, пов’язаних з володінням, користуванням і розпорядженням ними в межах визначених законодавством України з метою задоволення суспільних потреб громади.</w:t>
      </w:r>
    </w:p>
    <w:p w:rsidR="00DB3E86" w:rsidRPr="00BC24C4" w:rsidRDefault="00DB3E86" w:rsidP="00F539B8">
      <w:pPr>
        <w:pStyle w:val="a5"/>
        <w:rPr>
          <w:lang w:eastAsia="uk-UA" w:bidi="uk-UA"/>
        </w:rPr>
      </w:pPr>
    </w:p>
    <w:p w:rsidR="00BC24C4" w:rsidRPr="007B5CB5" w:rsidRDefault="00BC24C4" w:rsidP="00BC24C4">
      <w:pPr>
        <w:keepNext/>
        <w:keepLines/>
        <w:widowControl w:val="0"/>
        <w:numPr>
          <w:ilvl w:val="0"/>
          <w:numId w:val="1"/>
        </w:numPr>
        <w:tabs>
          <w:tab w:val="left" w:pos="328"/>
        </w:tabs>
        <w:spacing w:after="8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>Визначення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>проблеми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 xml:space="preserve">, на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>розв’язання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>якої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>спрямована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6"/>
          <w:lang w:val="ru-RU" w:eastAsia="uk-UA" w:bidi="uk-UA"/>
        </w:rPr>
        <w:t>Програма</w:t>
      </w:r>
      <w:proofErr w:type="spellEnd"/>
    </w:p>
    <w:p w:rsidR="007B5CB5" w:rsidRPr="00BC24C4" w:rsidRDefault="007B5CB5" w:rsidP="00F539B8">
      <w:pPr>
        <w:pStyle w:val="a5"/>
        <w:rPr>
          <w:lang w:eastAsia="uk-UA" w:bidi="uk-UA"/>
        </w:rPr>
      </w:pPr>
    </w:p>
    <w:p w:rsidR="00BC24C4" w:rsidRPr="00BC24C4" w:rsidRDefault="00BC24C4" w:rsidP="004B605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Факти руйнування, крадіжок на об’єктах комунальної власності мають дедалі більше поширений характер і спричиняють значні збитки економіці громади. Для зберігання будівель важливо приділяти увагу технічному обслуговуванню об’єктів комунальної власності.</w:t>
      </w:r>
    </w:p>
    <w:p w:rsidR="00BC24C4" w:rsidRPr="00BC24C4" w:rsidRDefault="00BC24C4" w:rsidP="004B605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Розробка  Програми є необхідною для забезпечення ефективного збереження та утримання об’єктів і майна комунальної власності Ананьївської міської територіальної громади та уповноваженими нею органами.</w:t>
      </w:r>
    </w:p>
    <w:p w:rsidR="00BC24C4" w:rsidRPr="00BC24C4" w:rsidRDefault="00BC24C4" w:rsidP="004B605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Для створення сприятливих умов ефективного використання та утримання об’єктів та майна комунальної власності Ананьївської міської територіальної громади необхідне відповідно забезпечення фінансовими ресурсами.</w:t>
      </w:r>
    </w:p>
    <w:p w:rsidR="00BC24C4" w:rsidRPr="00BC24C4" w:rsidRDefault="00BC24C4" w:rsidP="004B605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Органи місцевого самоврядування від імені та в інтересах територіальної громади відповідно до закону здійснюють повноваження щодо володіння, користування та розпорядження об’єктами права комунальної власності.</w:t>
      </w:r>
    </w:p>
    <w:p w:rsidR="00BC24C4" w:rsidRPr="00BC24C4" w:rsidRDefault="00BC24C4" w:rsidP="004B605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До повноважень з управління об’єктами комунальної власності належать всі майнові операції, передача об’єктів комунальної власності в оренду, господарське відання, оперативне управління, продаж, купівля, відчуження, ремонт, утримання, виявлення та прийняття безхазяйного майна. Ананьївська міська рада здійснює управління майном комунальної власності в межах повноважень чинного законодавства України та власних нормативних актів.</w:t>
      </w:r>
    </w:p>
    <w:p w:rsidR="00BC24C4" w:rsidRPr="00BC24C4" w:rsidRDefault="00BC24C4" w:rsidP="004B605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Для використання цих повноважень необхідно здійснювати такі операції:</w:t>
      </w:r>
    </w:p>
    <w:p w:rsidR="00BC24C4" w:rsidRPr="00BC24C4" w:rsidRDefault="004B6054" w:rsidP="004B6054">
      <w:pPr>
        <w:widowControl w:val="0"/>
        <w:numPr>
          <w:ilvl w:val="0"/>
          <w:numId w:val="2"/>
        </w:numPr>
        <w:tabs>
          <w:tab w:val="left" w:pos="851"/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uk-UA" w:bidi="uk-UA"/>
        </w:rPr>
        <w:t>о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цінку об’єктів, що передаються в оренду, відчужуються, здійснення заходів по підготовці та проведенню процедури відчуження, надання в оренду майна;</w:t>
      </w:r>
    </w:p>
    <w:p w:rsidR="00BC24C4" w:rsidRPr="00BC24C4" w:rsidRDefault="004B6054" w:rsidP="004B60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uk-UA" w:bidi="uk-UA"/>
        </w:rPr>
        <w:lastRenderedPageBreak/>
        <w:t>о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плата робіт та послуг з технічної інвентаризації нерухомого майна, що належить до комунальної власності та перебуває на балансі комунальних підприємств та установ;</w:t>
      </w:r>
    </w:p>
    <w:p w:rsidR="00BC24C4" w:rsidRPr="00BC24C4" w:rsidRDefault="004B6054" w:rsidP="004B6054">
      <w:pPr>
        <w:widowControl w:val="0"/>
        <w:numPr>
          <w:ilvl w:val="0"/>
          <w:numId w:val="2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</w:t>
      </w:r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плату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робіт </w:t>
      </w:r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з </w:t>
      </w:r>
      <w:proofErr w:type="spellStart"/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оформлення</w:t>
      </w:r>
      <w:proofErr w:type="spellEnd"/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документів, </w:t>
      </w:r>
      <w:proofErr w:type="spellStart"/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що</w:t>
      </w:r>
      <w:proofErr w:type="spellEnd"/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засвідчують </w:t>
      </w:r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право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комунальної власності;</w:t>
      </w:r>
    </w:p>
    <w:p w:rsidR="00BC24C4" w:rsidRPr="00BC24C4" w:rsidRDefault="004B6054" w:rsidP="004B6054">
      <w:pPr>
        <w:widowControl w:val="0"/>
        <w:numPr>
          <w:ilvl w:val="0"/>
          <w:numId w:val="2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плату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робіт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щодо обстеження та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паспортизації будівель і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споруд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комунальної власності територіальної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громади з метою встановлення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їх технічного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стану та забезпечення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їх надійності і безпечної експлуатації;</w:t>
      </w:r>
    </w:p>
    <w:p w:rsidR="00BC24C4" w:rsidRPr="00BC24C4" w:rsidRDefault="004B6054" w:rsidP="004B6054">
      <w:pPr>
        <w:widowControl w:val="0"/>
        <w:numPr>
          <w:ilvl w:val="0"/>
          <w:numId w:val="2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</w:t>
      </w:r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роведення</w:t>
      </w:r>
      <w:proofErr w:type="spellEnd"/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реконструкції, капітального, </w:t>
      </w:r>
      <w:proofErr w:type="gramStart"/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поточного</w:t>
      </w:r>
      <w:proofErr w:type="gramEnd"/>
      <w:r w:rsidR="00BC24C4"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ремонту майна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комунальної власності;</w:t>
      </w:r>
    </w:p>
    <w:p w:rsidR="00BC24C4" w:rsidRPr="00BC24C4" w:rsidRDefault="004B6054" w:rsidP="004B6054">
      <w:pPr>
        <w:widowControl w:val="0"/>
        <w:numPr>
          <w:ilvl w:val="0"/>
          <w:numId w:val="2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C31B48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плату комунальних послуг та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енергоносіїв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(теплопостачання, водопостачання та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водовідведення, електроенергія,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тощо), послуг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охоронної сигналізації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та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інші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послуги,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які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надаються на </w:t>
      </w:r>
      <w:r w:rsidR="00BC24C4"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об’єкти комунальної власності;</w:t>
      </w:r>
    </w:p>
    <w:p w:rsidR="00BC24C4" w:rsidRPr="00C31B48" w:rsidRDefault="00BC24C4" w:rsidP="004B6054">
      <w:pPr>
        <w:widowControl w:val="0"/>
        <w:tabs>
          <w:tab w:val="left" w:pos="851"/>
          <w:tab w:val="left" w:pos="993"/>
          <w:tab w:val="left" w:pos="1276"/>
          <w:tab w:val="left" w:pos="21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- </w:t>
      </w:r>
      <w:r w:rsidR="004B6054" w:rsidRPr="00C31B48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плату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інших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послуг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,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пов’язаних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з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управлінням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комунальним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майном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.</w:t>
      </w:r>
    </w:p>
    <w:p w:rsidR="004B6054" w:rsidRPr="00BC24C4" w:rsidRDefault="004B6054" w:rsidP="004B6054">
      <w:pPr>
        <w:widowControl w:val="0"/>
        <w:tabs>
          <w:tab w:val="left" w:pos="851"/>
          <w:tab w:val="left" w:pos="993"/>
          <w:tab w:val="left" w:pos="1276"/>
          <w:tab w:val="left" w:pos="21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 w:bidi="uk-UA"/>
        </w:rPr>
      </w:pPr>
    </w:p>
    <w:p w:rsidR="00BC24C4" w:rsidRPr="00F539B8" w:rsidRDefault="00BC24C4" w:rsidP="00F539B8">
      <w:pPr>
        <w:keepNext/>
        <w:keepLines/>
        <w:widowControl w:val="0"/>
        <w:numPr>
          <w:ilvl w:val="0"/>
          <w:numId w:val="1"/>
        </w:numPr>
        <w:tabs>
          <w:tab w:val="left" w:pos="37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 xml:space="preserve">Мета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>Програми</w:t>
      </w:r>
      <w:proofErr w:type="spellEnd"/>
    </w:p>
    <w:p w:rsidR="00F539B8" w:rsidRPr="00BC24C4" w:rsidRDefault="00F539B8" w:rsidP="00F539B8">
      <w:pPr>
        <w:pStyle w:val="a5"/>
        <w:rPr>
          <w:lang w:eastAsia="uk-UA" w:bidi="uk-UA"/>
        </w:rPr>
      </w:pPr>
    </w:p>
    <w:p w:rsidR="00BC24C4" w:rsidRDefault="00BC24C4" w:rsidP="00F539B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Основною метою Програми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є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забезпечення ефективного використання та утримання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об’єктів і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майна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комунальної власності Ананьївської міської територіальної громади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та уповноваженими нею органами, повноважень щодо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реалізації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прав, пов’язаних з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володінням,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користуванням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розпорядженням ними в межах визначених законодавством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України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 метою задоволення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суспільних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>потреб громади.</w:t>
      </w:r>
    </w:p>
    <w:p w:rsidR="00C31B48" w:rsidRPr="00BC24C4" w:rsidRDefault="00C31B48" w:rsidP="00C31B4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C24C4" w:rsidRPr="00BC24C4" w:rsidRDefault="00BC24C4" w:rsidP="00C31B48">
      <w:pPr>
        <w:widowControl w:val="0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</w:pPr>
      <w:r w:rsidRPr="00BC24C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4.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Обґрунтування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шляхів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і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засобів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розв'язання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проблеми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,</w:t>
      </w:r>
    </w:p>
    <w:p w:rsidR="00BC24C4" w:rsidRPr="00BC24C4" w:rsidRDefault="00BC24C4" w:rsidP="00C31B48">
      <w:pPr>
        <w:widowControl w:val="0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</w:pP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обсягі</w:t>
      </w:r>
      <w:proofErr w:type="gram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в</w:t>
      </w:r>
      <w:proofErr w:type="spellEnd"/>
      <w:proofErr w:type="gram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</w:t>
      </w:r>
      <w:proofErr w:type="gram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та</w:t>
      </w:r>
      <w:proofErr w:type="gram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джерел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фінансування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, строки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виконання</w:t>
      </w:r>
      <w:proofErr w:type="spellEnd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Програми</w:t>
      </w:r>
      <w:proofErr w:type="spellEnd"/>
    </w:p>
    <w:p w:rsidR="00BC24C4" w:rsidRPr="00BC24C4" w:rsidRDefault="00BC24C4" w:rsidP="00C31B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</w:pPr>
    </w:p>
    <w:p w:rsidR="00BC24C4" w:rsidRPr="00C31B48" w:rsidRDefault="00BC24C4" w:rsidP="00C31B4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uk-UA" w:bidi="uk-UA"/>
        </w:rPr>
      </w:pPr>
      <w:r w:rsidRPr="00C31B48">
        <w:rPr>
          <w:rFonts w:ascii="Times New Roman" w:hAnsi="Times New Roman"/>
          <w:sz w:val="28"/>
          <w:szCs w:val="28"/>
          <w:lang w:eastAsia="uk-UA" w:bidi="uk-UA"/>
        </w:rPr>
        <w:t>З метою створення сприятливих умов для забезпечення ефективного використання, утримання та збереження об'єктів і майна комунальної власності Ананьївської міської територіальної громади необхідне відповідне забезпечення фінансовими ресурсами.</w:t>
      </w:r>
    </w:p>
    <w:p w:rsidR="00BC24C4" w:rsidRPr="00C31B48" w:rsidRDefault="00BC24C4" w:rsidP="00C31B4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1B48">
        <w:rPr>
          <w:rFonts w:ascii="Times New Roman" w:hAnsi="Times New Roman"/>
          <w:sz w:val="28"/>
          <w:szCs w:val="28"/>
          <w:lang w:eastAsia="uk-UA"/>
        </w:rPr>
        <w:t>Органи місцевого самоврядування від імені та в інтересах територіальних  громад відповідно до закону здійснюють повноваження щодо володіння, користування та розпорядження об’єктами  права комунальної власності.</w:t>
      </w:r>
    </w:p>
    <w:p w:rsidR="00BC24C4" w:rsidRPr="00C31B48" w:rsidRDefault="00BC24C4" w:rsidP="00C31B4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C31B48">
        <w:rPr>
          <w:rFonts w:ascii="Times New Roman" w:hAnsi="Times New Roman"/>
          <w:sz w:val="28"/>
          <w:szCs w:val="28"/>
          <w:lang w:eastAsia="uk-UA" w:bidi="uk-UA"/>
        </w:rPr>
        <w:t xml:space="preserve">Фінансування </w:t>
      </w:r>
      <w:r w:rsidR="00C31B48">
        <w:rPr>
          <w:rFonts w:ascii="Times New Roman" w:hAnsi="Times New Roman"/>
          <w:sz w:val="28"/>
          <w:szCs w:val="28"/>
          <w:lang w:eastAsia="uk-UA" w:bidi="uk-UA"/>
        </w:rPr>
        <w:t>П</w:t>
      </w:r>
      <w:r w:rsidRPr="00C31B48">
        <w:rPr>
          <w:rFonts w:ascii="Times New Roman" w:hAnsi="Times New Roman"/>
          <w:sz w:val="28"/>
          <w:szCs w:val="28"/>
          <w:lang w:eastAsia="uk-UA" w:bidi="uk-UA"/>
        </w:rPr>
        <w:t xml:space="preserve">рограми здійснюється в межах видатків, затверджених в міському бюджеті, за рішенням сесії Ананьївської міської ради щодо виділення та спрямування коштів на виконання вказаної </w:t>
      </w:r>
      <w:r w:rsidR="00C31B48">
        <w:rPr>
          <w:rFonts w:ascii="Times New Roman" w:hAnsi="Times New Roman"/>
          <w:sz w:val="28"/>
          <w:szCs w:val="28"/>
          <w:lang w:eastAsia="uk-UA" w:bidi="uk-UA"/>
        </w:rPr>
        <w:t>П</w:t>
      </w:r>
      <w:r w:rsidRPr="00C31B48">
        <w:rPr>
          <w:rFonts w:ascii="Times New Roman" w:hAnsi="Times New Roman"/>
          <w:sz w:val="28"/>
          <w:szCs w:val="28"/>
          <w:lang w:eastAsia="uk-UA" w:bidi="uk-UA"/>
        </w:rPr>
        <w:t>рограми, а також з інших джерел фінансування, незаборонених чинним законодавством.</w:t>
      </w:r>
    </w:p>
    <w:p w:rsidR="00BC24C4" w:rsidRPr="00C31B48" w:rsidRDefault="00BC24C4" w:rsidP="00C31B4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C31B48">
        <w:rPr>
          <w:rFonts w:ascii="Times New Roman" w:hAnsi="Times New Roman"/>
          <w:sz w:val="28"/>
          <w:szCs w:val="28"/>
          <w:lang w:eastAsia="uk-UA" w:bidi="uk-UA"/>
        </w:rPr>
        <w:t>Обсяг вказаних видатків визначається рішенням сесії Ананьївської міської ради про бюджет або про внесення змін до показників місцевого бюджету на відповідний рік.</w:t>
      </w:r>
    </w:p>
    <w:p w:rsidR="00BC24C4" w:rsidRPr="00C31B48" w:rsidRDefault="00BC24C4" w:rsidP="00C31B4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C31B48">
        <w:rPr>
          <w:rFonts w:ascii="Times New Roman" w:hAnsi="Times New Roman"/>
          <w:sz w:val="28"/>
          <w:szCs w:val="28"/>
          <w:lang w:eastAsia="uk-UA" w:bidi="uk-UA"/>
        </w:rPr>
        <w:t>Програма розрахована на реалізацію заходів протягом 2024-2025 років.</w:t>
      </w:r>
    </w:p>
    <w:p w:rsidR="00BC24C4" w:rsidRPr="00C31B48" w:rsidRDefault="00BC24C4" w:rsidP="00C31B4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C31B48">
        <w:rPr>
          <w:rFonts w:ascii="Times New Roman" w:hAnsi="Times New Roman"/>
          <w:sz w:val="28"/>
          <w:szCs w:val="28"/>
          <w:lang w:eastAsia="uk-UA" w:bidi="uk-UA"/>
        </w:rPr>
        <w:t>Ресурсне забезпечення Програми наведені у додатку 1.</w:t>
      </w:r>
    </w:p>
    <w:p w:rsidR="00BC24C4" w:rsidRPr="00BC24C4" w:rsidRDefault="00BC24C4" w:rsidP="00BC24C4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:rsidR="00BC24C4" w:rsidRDefault="00BC24C4" w:rsidP="00F539B8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lastRenderedPageBreak/>
        <w:tab/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ab/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ab/>
      </w:r>
      <w:r w:rsidRPr="00BC24C4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5.</w:t>
      </w:r>
      <w:r w:rsidR="00C31B48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 </w:t>
      </w:r>
      <w:r w:rsidRPr="00BC24C4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Напрями діяльності та заходи Програми</w:t>
      </w:r>
    </w:p>
    <w:p w:rsidR="00C31B48" w:rsidRPr="00BC24C4" w:rsidRDefault="00C31B48" w:rsidP="00C31B48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p w:rsidR="00BC24C4" w:rsidRPr="00BC24C4" w:rsidRDefault="00BC24C4" w:rsidP="00C31B48">
      <w:pPr>
        <w:widowControl w:val="0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Дана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Програма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спрямована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здійснення управлінських дій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щодо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майна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комунальної власності Ананьївської міської територіальної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громади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, 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саме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: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облік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майна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комунальної власності територіальної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громади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утримання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в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належному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стані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та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використання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майна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комунальної власності територіальної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громади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проведення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реконструкції, капітального, </w:t>
      </w:r>
      <w:proofErr w:type="gram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поточного</w:t>
      </w:r>
      <w:proofErr w:type="gram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ремонту майна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комунальної власності;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здійснення заходів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щодо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підготовки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та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виготовлення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документів, які підтверджують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право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комунальної власності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об’єкти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та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майно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територіальної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громади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організація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проведення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незалежної оцінки об’єктів комунальної власності;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передача майна в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оренду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,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суборенду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(здійснення необхідних дій,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пов’язаних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з </w:t>
      </w:r>
      <w:proofErr w:type="gramStart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п</w:t>
      </w:r>
      <w:proofErr w:type="gramEnd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ідготовкою необхідних документів,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проведення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оцінки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майна);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відчуження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майна, продаж, передача до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державної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іншої комунальної власності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(визначення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об’єктів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відчуження, підготовка необхідного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пакету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документів,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проведення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конкурсів, аукціонів,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укладення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договорів, </w:t>
      </w:r>
      <w:r w:rsidRPr="00BC24C4">
        <w:rPr>
          <w:rFonts w:ascii="Times New Roman" w:eastAsia="Times New Roman" w:hAnsi="Times New Roman"/>
          <w:sz w:val="28"/>
          <w:szCs w:val="28"/>
          <w:lang w:eastAsia="ru-RU" w:bidi="ru-RU"/>
        </w:rPr>
        <w:t>друк оголошень тощо);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приймання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майна, 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саме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: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набуття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права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власності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шляхом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приймання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в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комунальну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власність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майна з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інших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форм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власності,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придбання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,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набуття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права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власності на безхазяйне майно, тощо, </w:t>
      </w:r>
      <w:proofErr w:type="gramStart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п</w:t>
      </w:r>
      <w:proofErr w:type="gramEnd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ідготовка необхідного пакету документів - технічної та правовстановлюючої документації, тощо;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укладання договорів з підприємствами, установами, організаціями про закріплення майна комунальної власності (крім об’єктів житлового фонду) на правах господарського відання або оперативного управління на підставі рішень міської ради відповідно до чинного законодавства;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57"/>
          <w:tab w:val="left" w:pos="15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формування єдиного реєстру об’єктів нерухомості комунальної власності;</w:t>
      </w:r>
    </w:p>
    <w:p w:rsidR="00BC24C4" w:rsidRPr="00BC24C4" w:rsidRDefault="00BC24C4" w:rsidP="00C31B48">
      <w:pPr>
        <w:widowControl w:val="0"/>
        <w:numPr>
          <w:ilvl w:val="0"/>
          <w:numId w:val="3"/>
        </w:numPr>
        <w:tabs>
          <w:tab w:val="left" w:pos="851"/>
          <w:tab w:val="left" w:pos="1457"/>
          <w:tab w:val="left" w:pos="15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замовлення послуг з виготовлення робочих проектів на електропостачання та технічні умови стандартного приєднання, послуг з підключення до електричних мереж;</w:t>
      </w:r>
    </w:p>
    <w:p w:rsidR="00BC24C4" w:rsidRPr="00BC24C4" w:rsidRDefault="00C31B48" w:rsidP="00C31B48">
      <w:pPr>
        <w:keepNext/>
        <w:keepLines/>
        <w:widowControl w:val="0"/>
        <w:numPr>
          <w:ilvl w:val="0"/>
          <w:numId w:val="3"/>
        </w:numPr>
        <w:tabs>
          <w:tab w:val="left" w:pos="378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uk-UA" w:bidi="uk-UA"/>
        </w:rPr>
      </w:pPr>
      <w:r w:rsidRPr="00C31B48">
        <w:rPr>
          <w:rFonts w:ascii="Times New Roman" w:eastAsia="Times New Roman" w:hAnsi="Times New Roman"/>
          <w:bCs/>
          <w:sz w:val="28"/>
          <w:szCs w:val="28"/>
          <w:lang w:eastAsia="uk-UA" w:bidi="uk-UA"/>
        </w:rPr>
        <w:t>з</w:t>
      </w:r>
      <w:r w:rsidR="00BC24C4" w:rsidRPr="00BC24C4">
        <w:rPr>
          <w:rFonts w:ascii="Times New Roman" w:eastAsia="Times New Roman" w:hAnsi="Times New Roman"/>
          <w:bCs/>
          <w:sz w:val="28"/>
          <w:szCs w:val="28"/>
          <w:lang w:eastAsia="uk-UA" w:bidi="uk-UA"/>
        </w:rPr>
        <w:t>абезпечення належного утримання, в т.ч. сплати комунальних послуг, ремонту і охорони об’єктів комунальної власності, які тимчасово не передані в оренду та перебувають на балансі підприємств, установ, організацій, виконавчих органів Ананьївської міської ради уповноважених управляти комунальним майном.</w:t>
      </w:r>
    </w:p>
    <w:p w:rsidR="00BC24C4" w:rsidRDefault="00BC24C4" w:rsidP="00C31B4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Напрями діяльності та заходи Програми наведені у додатку 2.</w:t>
      </w:r>
    </w:p>
    <w:p w:rsidR="00C31B48" w:rsidRPr="00BC24C4" w:rsidRDefault="00C31B48" w:rsidP="00DB273C">
      <w:pPr>
        <w:pStyle w:val="a5"/>
        <w:rPr>
          <w:lang w:eastAsia="uk-UA" w:bidi="uk-UA"/>
        </w:rPr>
      </w:pPr>
    </w:p>
    <w:p w:rsidR="00BC24C4" w:rsidRPr="00BC24C4" w:rsidRDefault="00BC24C4" w:rsidP="00C31B48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BC24C4" w:rsidRDefault="00BC24C4" w:rsidP="00C31B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6.Очікувані результати та ефективність Програми</w:t>
      </w:r>
    </w:p>
    <w:p w:rsidR="00C31B48" w:rsidRPr="00BC24C4" w:rsidRDefault="00C31B48" w:rsidP="00DB273C">
      <w:pPr>
        <w:pStyle w:val="a5"/>
        <w:rPr>
          <w:lang w:eastAsia="uk-UA" w:bidi="uk-UA"/>
        </w:rPr>
      </w:pPr>
    </w:p>
    <w:p w:rsidR="00BC24C4" w:rsidRPr="00BC24C4" w:rsidRDefault="00BC24C4" w:rsidP="008247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Виконання Програми забезпечить функціонування об’єктів, що є комунальною власністю, а також утримання, збереження, підвищення ефективності використання майна, що належить до комунальної власності громади.</w:t>
      </w:r>
    </w:p>
    <w:p w:rsidR="00BC24C4" w:rsidRPr="00BC24C4" w:rsidRDefault="00BC24C4" w:rsidP="008247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lastRenderedPageBreak/>
        <w:t>Також дасть змогу зміцнити матеріально-технічну базу об’єктів комунальної власності, створити максимально зручні умови у приміщеннях комунальної власності для різних верств населення, поліпшить умови праці працівників.</w:t>
      </w:r>
    </w:p>
    <w:p w:rsidR="00BC24C4" w:rsidRPr="00BC24C4" w:rsidRDefault="00BC24C4" w:rsidP="00824799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Виконання заходів Програми дозволить:</w:t>
      </w:r>
    </w:p>
    <w:p w:rsidR="00BC24C4" w:rsidRPr="00BC24C4" w:rsidRDefault="00BC24C4" w:rsidP="00824799">
      <w:pPr>
        <w:widowControl w:val="0"/>
        <w:numPr>
          <w:ilvl w:val="0"/>
          <w:numId w:val="4"/>
        </w:numPr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належним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чином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виконувати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завдання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та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функції управління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комунальним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майном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;</w:t>
      </w:r>
    </w:p>
    <w:p w:rsidR="00BC24C4" w:rsidRPr="00BC24C4" w:rsidRDefault="00BC24C4" w:rsidP="00824799">
      <w:pPr>
        <w:widowControl w:val="0"/>
        <w:numPr>
          <w:ilvl w:val="0"/>
          <w:numId w:val="4"/>
        </w:numPr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забезпечить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надходження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кошті</w:t>
      </w:r>
      <w:proofErr w:type="gramStart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в</w:t>
      </w:r>
      <w:proofErr w:type="gramEnd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до бюджету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від передачі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в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оренду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та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відчуження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майна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комунальної власності;</w:t>
      </w:r>
    </w:p>
    <w:p w:rsidR="00BC24C4" w:rsidRPr="00BC24C4" w:rsidRDefault="00BC24C4" w:rsidP="00824799">
      <w:pPr>
        <w:widowControl w:val="0"/>
        <w:numPr>
          <w:ilvl w:val="0"/>
          <w:numId w:val="4"/>
        </w:numPr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утримувати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об’єкти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комунального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майна в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належному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proofErr w:type="gramStart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техн</w:t>
      </w:r>
      <w:proofErr w:type="gramEnd"/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>ічному стані;</w:t>
      </w:r>
    </w:p>
    <w:p w:rsidR="00BC24C4" w:rsidRPr="00824799" w:rsidRDefault="00BC24C4" w:rsidP="00824799">
      <w:pPr>
        <w:widowControl w:val="0"/>
        <w:numPr>
          <w:ilvl w:val="0"/>
          <w:numId w:val="4"/>
        </w:numPr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підвищити ефективність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використання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комунального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майна шляхом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передачі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його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в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оренду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фізичним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та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юридичним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особам з метою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задоволення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їх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прав та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інтересів, </w:t>
      </w:r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також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 прав та </w:t>
      </w:r>
      <w:r w:rsidRPr="00BC24C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інтересів територіальної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громади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 w:bidi="ru-RU"/>
        </w:rPr>
        <w:t>.</w:t>
      </w:r>
    </w:p>
    <w:p w:rsidR="00824799" w:rsidRPr="00BC24C4" w:rsidRDefault="00824799" w:rsidP="00DB273C">
      <w:pPr>
        <w:pStyle w:val="a5"/>
        <w:rPr>
          <w:lang w:eastAsia="uk-UA" w:bidi="uk-UA"/>
        </w:rPr>
      </w:pPr>
    </w:p>
    <w:p w:rsidR="00BC24C4" w:rsidRPr="00EC227B" w:rsidRDefault="00BC24C4" w:rsidP="00BC24C4">
      <w:pPr>
        <w:keepNext/>
        <w:keepLines/>
        <w:widowControl w:val="0"/>
        <w:numPr>
          <w:ilvl w:val="0"/>
          <w:numId w:val="5"/>
        </w:numPr>
        <w:tabs>
          <w:tab w:val="left" w:pos="373"/>
        </w:tabs>
        <w:spacing w:after="8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</w:pPr>
      <w:r w:rsidRPr="00BC24C4"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  <w:t xml:space="preserve">Координація </w:t>
      </w:r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 xml:space="preserve">та контроль за ходом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>виконання</w:t>
      </w:r>
      <w:proofErr w:type="spellEnd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b/>
          <w:bCs/>
          <w:sz w:val="28"/>
          <w:szCs w:val="28"/>
          <w:lang w:val="ru-RU" w:eastAsia="ru-RU" w:bidi="ru-RU"/>
        </w:rPr>
        <w:t>Програми</w:t>
      </w:r>
      <w:proofErr w:type="spellEnd"/>
    </w:p>
    <w:p w:rsidR="00EC227B" w:rsidRPr="00BC24C4" w:rsidRDefault="00EC227B" w:rsidP="00DB273C">
      <w:pPr>
        <w:pStyle w:val="a5"/>
        <w:rPr>
          <w:lang w:eastAsia="uk-UA" w:bidi="uk-UA"/>
        </w:rPr>
      </w:pPr>
    </w:p>
    <w:p w:rsidR="00BC24C4" w:rsidRPr="00BC24C4" w:rsidRDefault="00BC24C4" w:rsidP="00824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sz w:val="28"/>
          <w:szCs w:val="28"/>
          <w:lang w:eastAsia="ru-RU"/>
        </w:rPr>
        <w:t>Реалізація Програми здійснюється шляхом реалізації її заходів і завдань відповідальними виконавцями програми.</w:t>
      </w:r>
    </w:p>
    <w:p w:rsidR="00BC24C4" w:rsidRPr="00BC24C4" w:rsidRDefault="00BC24C4" w:rsidP="00824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sz w:val="28"/>
          <w:szCs w:val="28"/>
          <w:lang w:eastAsia="ru-RU"/>
        </w:rPr>
        <w:t>Координацію учасників Програми та загальний контроль за виконанням Програми покладено на в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>ідділ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житлово-комунального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>інфраструктури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BC24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</w:t>
      </w:r>
    </w:p>
    <w:p w:rsidR="00BC24C4" w:rsidRPr="00BC24C4" w:rsidRDefault="00BC24C4" w:rsidP="00824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sz w:val="28"/>
          <w:szCs w:val="28"/>
          <w:lang w:eastAsia="ru-RU"/>
        </w:rPr>
        <w:t>Поточний контроль за цільовим та ефективним використанням коштів, спрямованих на забезпечення виконання Програми здійснює головний розпорядник коштів.</w:t>
      </w:r>
    </w:p>
    <w:p w:rsidR="00BC24C4" w:rsidRPr="00BC24C4" w:rsidRDefault="00BC24C4" w:rsidP="00824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sz w:val="28"/>
          <w:szCs w:val="28"/>
          <w:lang w:eastAsia="ru-RU"/>
        </w:rPr>
        <w:t>Контроль за ходом реалізації програми здійснює постійна комісія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C24C4" w:rsidRPr="00BC24C4" w:rsidRDefault="00BC24C4" w:rsidP="00824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C4">
        <w:rPr>
          <w:rFonts w:ascii="Times New Roman" w:eastAsia="Times New Roman" w:hAnsi="Times New Roman"/>
          <w:sz w:val="28"/>
          <w:szCs w:val="28"/>
          <w:lang w:eastAsia="ru-RU"/>
        </w:rPr>
        <w:t>Після закінчення встановленого строку виконання Програми, не пізніше ніж у двомісячний строк, відділ з питань будівництва, житлово-комунального господарства та інфраструктури Ананьївської міської ради  складає підсумковий звіт про результати її виконання та подає його на розгляд Ананьївської міської ради разом із пояснювальною запискою.</w:t>
      </w:r>
    </w:p>
    <w:p w:rsidR="00BC24C4" w:rsidRDefault="00BC24C4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  <w:r w:rsidRPr="00BC24C4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             </w:t>
      </w: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  <w:sectPr w:rsidR="00E82A0A" w:rsidSect="00DB3E86"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tbl>
      <w:tblPr>
        <w:tblW w:w="14114" w:type="dxa"/>
        <w:tblInd w:w="675" w:type="dxa"/>
        <w:tblLook w:val="04A0" w:firstRow="1" w:lastRow="0" w:firstColumn="1" w:lastColumn="0" w:noHBand="0" w:noVBand="1"/>
      </w:tblPr>
      <w:tblGrid>
        <w:gridCol w:w="5114"/>
        <w:gridCol w:w="1548"/>
        <w:gridCol w:w="692"/>
        <w:gridCol w:w="1009"/>
        <w:gridCol w:w="5751"/>
      </w:tblGrid>
      <w:tr w:rsidR="00E82A0A" w:rsidRPr="00E82A0A" w:rsidTr="007C7AE8">
        <w:trPr>
          <w:trHeight w:val="264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3A2876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3A2876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</w:tr>
      <w:tr w:rsidR="00E82A0A" w:rsidRPr="00E82A0A" w:rsidTr="007C7AE8">
        <w:trPr>
          <w:trHeight w:val="90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2A0A" w:rsidRPr="00E82A0A" w:rsidTr="007C7AE8">
        <w:trPr>
          <w:trHeight w:val="2235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A0A" w:rsidRPr="00E82A0A" w:rsidRDefault="00E82A0A" w:rsidP="00605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цільової</w:t>
            </w:r>
            <w:proofErr w:type="spell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об’єкті</w:t>
            </w:r>
            <w:proofErr w:type="gram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</w:t>
            </w:r>
            <w:proofErr w:type="gram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майна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комунальної</w:t>
            </w:r>
            <w:proofErr w:type="spell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Ананьївської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E82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громад на 2024-2025 роки</w:t>
            </w:r>
          </w:p>
        </w:tc>
      </w:tr>
      <w:tr w:rsidR="00E82A0A" w:rsidRPr="00E82A0A" w:rsidTr="007C7AE8">
        <w:trPr>
          <w:trHeight w:val="750"/>
        </w:trPr>
        <w:tc>
          <w:tcPr>
            <w:tcW w:w="14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A0A" w:rsidRPr="00E82A0A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Ресурсне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утримання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об’єктів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та майна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Ананьївської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</w:t>
            </w:r>
            <w:proofErr w:type="gramEnd"/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2024 -2025 роки</w:t>
            </w:r>
          </w:p>
        </w:tc>
      </w:tr>
      <w:tr w:rsidR="00E82A0A" w:rsidRPr="00E82A0A" w:rsidTr="007C7AE8">
        <w:trPr>
          <w:trHeight w:val="225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82A0A" w:rsidRPr="00E82A0A" w:rsidTr="007C7AE8">
        <w:trPr>
          <w:trHeight w:val="1635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0A" w:rsidRPr="00031E66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кошті</w:t>
            </w:r>
            <w:proofErr w:type="gram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пропонується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залучити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0A" w:rsidRPr="00031E66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2024 </w:t>
            </w:r>
            <w:proofErr w:type="spellStart"/>
            <w:proofErr w:type="gram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0A" w:rsidRPr="00031E66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2025 </w:t>
            </w:r>
            <w:proofErr w:type="spellStart"/>
            <w:proofErr w:type="gram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ік</w:t>
            </w:r>
            <w:proofErr w:type="spellEnd"/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0A" w:rsidRPr="00031E66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витрат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, тис</w:t>
            </w:r>
            <w:proofErr w:type="gram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 w:rsidRPr="00031E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рн.</w:t>
            </w:r>
          </w:p>
        </w:tc>
      </w:tr>
      <w:tr w:rsidR="00E82A0A" w:rsidRPr="00E82A0A" w:rsidTr="007C7AE8">
        <w:trPr>
          <w:trHeight w:val="75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0A" w:rsidRPr="00031E66" w:rsidRDefault="00E82A0A" w:rsidP="00031E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ресурсів</w:t>
            </w:r>
            <w:proofErr w:type="spellEnd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gramStart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тому </w:t>
            </w:r>
            <w:proofErr w:type="spellStart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031E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A0A" w:rsidRPr="00E82A0A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82A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</w:tr>
      <w:tr w:rsidR="00E82A0A" w:rsidRPr="00E82A0A" w:rsidTr="007C7AE8">
        <w:trPr>
          <w:trHeight w:val="1605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A0A" w:rsidRPr="003A2876" w:rsidRDefault="00E82A0A" w:rsidP="00E82A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2A0A" w:rsidRPr="00E82A0A" w:rsidRDefault="00E82A0A" w:rsidP="00031E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визначається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ішенням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Ананьївської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ради про бюджет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відповідний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бюджетний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бюджетних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запитів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наданих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головними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розпорядниками</w:t>
            </w:r>
            <w:proofErr w:type="spellEnd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82A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</w:p>
        </w:tc>
      </w:tr>
    </w:tbl>
    <w:p w:rsidR="00E82A0A" w:rsidRPr="00E82A0A" w:rsidRDefault="00E82A0A" w:rsidP="00E82A0A">
      <w:pPr>
        <w:rPr>
          <w:rFonts w:asciiTheme="minorHAnsi" w:eastAsiaTheme="minorHAnsi" w:hAnsiTheme="minorHAnsi" w:cstheme="minorBidi"/>
          <w:lang w:val="ru-RU"/>
        </w:rPr>
      </w:pPr>
    </w:p>
    <w:p w:rsidR="00E82A0A" w:rsidRP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val="ru-RU" w:eastAsia="uk-UA"/>
        </w:rPr>
      </w:pP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E82A0A" w:rsidRDefault="00E82A0A" w:rsidP="00BC24C4">
      <w:pPr>
        <w:tabs>
          <w:tab w:val="left" w:pos="7590"/>
        </w:tabs>
        <w:autoSpaceDE w:val="0"/>
        <w:autoSpaceDN w:val="0"/>
        <w:spacing w:after="0" w:line="240" w:lineRule="auto"/>
        <w:ind w:left="7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752B6E" w:rsidRPr="00752B6E" w:rsidRDefault="00752B6E" w:rsidP="00752B6E">
      <w:pPr>
        <w:spacing w:after="0" w:line="240" w:lineRule="auto"/>
        <w:ind w:left="878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B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Додаток 2</w:t>
      </w:r>
      <w:r w:rsidRPr="00752B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52B6E" w:rsidRPr="00752B6E" w:rsidRDefault="00752B6E" w:rsidP="00752B6E">
      <w:pPr>
        <w:spacing w:after="0" w:line="240" w:lineRule="auto"/>
        <w:ind w:left="878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цільової Програми  утримання об’єктів та майна комунальної власності Ананьївської міської територіальної громади  на 2024-2025 роки</w:t>
      </w:r>
    </w:p>
    <w:p w:rsidR="00752B6E" w:rsidRPr="00752B6E" w:rsidRDefault="00752B6E" w:rsidP="00752B6E">
      <w:pPr>
        <w:spacing w:after="0" w:line="240" w:lineRule="auto"/>
        <w:ind w:left="8789"/>
        <w:rPr>
          <w:rFonts w:asciiTheme="minorHAnsi" w:eastAsiaTheme="minorHAnsi" w:hAnsiTheme="minorHAnsi" w:cstheme="minorBidi"/>
          <w:lang w:val="ru-RU"/>
        </w:rPr>
      </w:pPr>
    </w:p>
    <w:tbl>
      <w:tblPr>
        <w:tblW w:w="15045" w:type="dxa"/>
        <w:tblInd w:w="93" w:type="dxa"/>
        <w:tblLook w:val="04A0" w:firstRow="1" w:lastRow="0" w:firstColumn="1" w:lastColumn="0" w:noHBand="0" w:noVBand="1"/>
      </w:tblPr>
      <w:tblGrid>
        <w:gridCol w:w="1739"/>
        <w:gridCol w:w="2472"/>
        <w:gridCol w:w="2467"/>
        <w:gridCol w:w="1297"/>
        <w:gridCol w:w="1739"/>
        <w:gridCol w:w="946"/>
        <w:gridCol w:w="905"/>
        <w:gridCol w:w="447"/>
        <w:gridCol w:w="418"/>
        <w:gridCol w:w="2615"/>
      </w:tblGrid>
      <w:tr w:rsidR="00752B6E" w:rsidRPr="00752B6E" w:rsidTr="007C7AE8">
        <w:trPr>
          <w:trHeight w:val="675"/>
        </w:trPr>
        <w:tc>
          <w:tcPr>
            <w:tcW w:w="15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Напрями діяльності та заходи  цільової Програми утримання об’єктів та майна комунальної власності Ананьївської міської територіальної громади  на 2024 -2025 роки</w:t>
            </w:r>
          </w:p>
        </w:tc>
      </w:tr>
      <w:tr w:rsidR="00752B6E" w:rsidRPr="00752B6E" w:rsidTr="007C7AE8">
        <w:trPr>
          <w:trHeight w:val="49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5B78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 напряму діяльності (пріорите</w:t>
            </w:r>
            <w:bookmarkStart w:id="0" w:name="_GoBack"/>
            <w:bookmarkEnd w:id="0"/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тні завдання)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5B78F3">
            <w:pPr>
              <w:spacing w:after="0" w:line="240" w:lineRule="auto"/>
              <w:ind w:firstLineChars="4" w:firstLine="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Зміст заходів Програми з виконання завдання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Орієнтовні обсяги фінансування за роками виконання, </w:t>
            </w:r>
            <w:proofErr w:type="spellStart"/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752B6E" w:rsidRPr="00752B6E" w:rsidTr="007C7AE8">
        <w:trPr>
          <w:trHeight w:val="46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B6E" w:rsidRPr="00752B6E" w:rsidTr="002439F8">
        <w:trPr>
          <w:trHeight w:val="196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031E66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ефективного використання та утримання об’єктів і майна комунальної власності територіальної громади Ананьївської міської ради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по утриманню в належному стані майна комунальної власності, яке не передано в оренду та знаходиться на балансі підприємств, установ, виконавчих органів, уповноважених управляти  комунальним майном (реконструкція, капітальний, поточний  ремонт)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установи, підприємства - </w:t>
            </w:r>
            <w:proofErr w:type="spellStart"/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балансоутримувачі</w:t>
            </w:r>
            <w:proofErr w:type="spellEnd"/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будівель і споруд уповноваженні управляти комунальним майном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2024-2025 роки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ind w:firstLineChars="5" w:firstLine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2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031E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Обсяг коштів визначається рішенням Ананьївської міської ради про бюджет територіальної громади на відповідний бюджетний рік відповідно до бюджетних запитів наданих головними розпорядниками коштів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031E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2439F8">
        <w:trPr>
          <w:trHeight w:val="190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по утриманню в належному стані майна комунальної власності, яке передано в оренду та знаходиться на балансі підприємств, установ, виконавчих органів, уповноважених управляти комунальним майном (реконструкція, капітальний, поточний  ремонт)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2439F8">
        <w:trPr>
          <w:trHeight w:val="105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Здійснення  заходів щодо охорони об’єктів та майна комунальної власності територіальної громади 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2439F8">
        <w:trPr>
          <w:trHeight w:val="181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Здійснення заходів щодо обстеження об’єктів комунальної власності територіальної громади з наданням висновків про технічний стан та їх експлуатаційну придатність , тощо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7C7AE8">
        <w:trPr>
          <w:trHeight w:val="111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Здійснення заходів з експертно-грошової оцінки об’єктів та їх частин, матеріальних цінностей, тощо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2439F8">
        <w:trPr>
          <w:trHeight w:val="138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Здійснення заходів з виготовлення технічних паспортів на об’єкти нерухомого майна комунальної власності, тощо 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2439F8">
        <w:trPr>
          <w:trHeight w:val="123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2439F8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Здійснення заходів</w:t>
            </w:r>
            <w:r w:rsidR="00752B6E"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направлених на оформлення правовстановлюючих документів на об’єкти нерухомого  майна 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2439F8">
        <w:trPr>
          <w:trHeight w:val="120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Здійснення інших заходів, щодо утримання об’єктів та майна комунальної власності територіальної громади 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243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Забезпечити належне утримання, зберігання, раціональне та ефективне використання об’єктів нерухомого майна</w:t>
            </w:r>
          </w:p>
        </w:tc>
      </w:tr>
      <w:tr w:rsidR="00752B6E" w:rsidRPr="00752B6E" w:rsidTr="007C7AE8">
        <w:trPr>
          <w:trHeight w:val="1260"/>
        </w:trPr>
        <w:tc>
          <w:tcPr>
            <w:tcW w:w="4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Усього за напрямом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Загальний обсяг, в тому числі: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Визначається рішенням Ананьївської міської ради про бюджет територіальної громади на </w:t>
            </w: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відповідний бюджетний рік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52B6E" w:rsidRPr="00752B6E" w:rsidTr="007C7AE8">
        <w:trPr>
          <w:trHeight w:val="459"/>
        </w:trPr>
        <w:tc>
          <w:tcPr>
            <w:tcW w:w="4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B6E" w:rsidRPr="00752B6E" w:rsidTr="007C7AE8">
        <w:trPr>
          <w:trHeight w:val="255"/>
        </w:trPr>
        <w:tc>
          <w:tcPr>
            <w:tcW w:w="4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Усього за Програмою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Загальний обсяг, в тому числі: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2B6E" w:rsidRPr="00752B6E" w:rsidTr="007C7AE8">
        <w:trPr>
          <w:trHeight w:val="1512"/>
        </w:trPr>
        <w:tc>
          <w:tcPr>
            <w:tcW w:w="4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2B6E" w:rsidRPr="00752B6E" w:rsidRDefault="00752B6E" w:rsidP="0075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2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Визначається рішенням Ананьївської міської ради про бюджет територіальної громади на відповідний бюджетний рік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6E" w:rsidRPr="00752B6E" w:rsidRDefault="00752B6E" w:rsidP="00752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2B6E" w:rsidRPr="00752B6E" w:rsidRDefault="00752B6E" w:rsidP="00752B6E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BC24C4" w:rsidRPr="00BC24C4" w:rsidRDefault="00BC24C4" w:rsidP="00BC24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C24C4" w:rsidRPr="00BC24C4" w:rsidRDefault="00BC24C4" w:rsidP="00BC24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C24C4" w:rsidRPr="00BC24C4" w:rsidRDefault="00BC24C4" w:rsidP="00BC24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C24C4" w:rsidRPr="00BC24C4" w:rsidRDefault="00BC24C4"/>
    <w:p w:rsidR="00BC24C4" w:rsidRPr="00BC24C4" w:rsidRDefault="00BC24C4"/>
    <w:sectPr w:rsidR="00BC24C4" w:rsidRPr="00BC24C4" w:rsidSect="00E82A0A">
      <w:pgSz w:w="16838" w:h="11906" w:orient="landscape"/>
      <w:pgMar w:top="1701" w:right="993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24189"/>
    <w:multiLevelType w:val="multilevel"/>
    <w:tmpl w:val="B5CCC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024A0"/>
    <w:multiLevelType w:val="multilevel"/>
    <w:tmpl w:val="84D44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F3085"/>
    <w:multiLevelType w:val="multilevel"/>
    <w:tmpl w:val="443AC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F0ADA"/>
    <w:multiLevelType w:val="multilevel"/>
    <w:tmpl w:val="236E9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4778AB"/>
    <w:multiLevelType w:val="multilevel"/>
    <w:tmpl w:val="001EC13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89"/>
    <w:rsid w:val="000259A5"/>
    <w:rsid w:val="00031E66"/>
    <w:rsid w:val="002439F8"/>
    <w:rsid w:val="003A2876"/>
    <w:rsid w:val="004B6054"/>
    <w:rsid w:val="00596E89"/>
    <w:rsid w:val="005B78F3"/>
    <w:rsid w:val="00605CE0"/>
    <w:rsid w:val="00752B6E"/>
    <w:rsid w:val="007B5CB5"/>
    <w:rsid w:val="0080385A"/>
    <w:rsid w:val="00824799"/>
    <w:rsid w:val="00B80E53"/>
    <w:rsid w:val="00BC24C4"/>
    <w:rsid w:val="00C01BA9"/>
    <w:rsid w:val="00C31B48"/>
    <w:rsid w:val="00DB273C"/>
    <w:rsid w:val="00DB3E86"/>
    <w:rsid w:val="00E82A0A"/>
    <w:rsid w:val="00EC227B"/>
    <w:rsid w:val="00F26700"/>
    <w:rsid w:val="00F539B8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5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53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C24C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C31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5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53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C24C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C3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2024-10-23T12:10:00Z</dcterms:created>
  <dcterms:modified xsi:type="dcterms:W3CDTF">2024-10-23T14:30:00Z</dcterms:modified>
</cp:coreProperties>
</file>