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EA" w:rsidRPr="00B649EA" w:rsidRDefault="00B649EA" w:rsidP="00B649EA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B649EA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A6BAFA5" wp14:editId="203E18B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EA" w:rsidRPr="00B649EA" w:rsidRDefault="00B649EA" w:rsidP="00B649EA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B649EA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649EA" w:rsidRPr="00B649EA" w:rsidRDefault="00B649EA" w:rsidP="00B649EA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B649EA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649EA" w:rsidRPr="00B649EA" w:rsidRDefault="00B649EA" w:rsidP="00B649EA">
      <w:pPr>
        <w:suppressAutoHyphens/>
        <w:spacing w:line="200" w:lineRule="atLeast"/>
        <w:jc w:val="center"/>
        <w:rPr>
          <w:lang w:val="uk-UA" w:eastAsia="ar-SA"/>
        </w:rPr>
      </w:pPr>
      <w:r w:rsidRPr="00B649EA">
        <w:rPr>
          <w:lang w:val="uk-UA" w:eastAsia="ar-SA"/>
        </w:rPr>
        <w:t>Ананьїв</w:t>
      </w:r>
    </w:p>
    <w:p w:rsidR="00B649EA" w:rsidRPr="00B649EA" w:rsidRDefault="00B649EA" w:rsidP="00B649EA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B649EA" w:rsidRPr="00B649EA" w:rsidRDefault="00B649EA" w:rsidP="00B649EA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bCs/>
          <w:sz w:val="28"/>
          <w:szCs w:val="28"/>
          <w:lang w:val="uk-UA" w:eastAsia="ar-SA"/>
        </w:rPr>
        <w:t>22 березня</w:t>
      </w:r>
      <w:r w:rsidRPr="00B649EA">
        <w:rPr>
          <w:bCs/>
          <w:sz w:val="28"/>
          <w:szCs w:val="28"/>
          <w:lang w:val="uk-UA" w:eastAsia="ar-SA"/>
        </w:rPr>
        <w:t xml:space="preserve"> </w:t>
      </w:r>
      <w:r w:rsidRPr="00B649EA">
        <w:rPr>
          <w:rFonts w:eastAsia="Calibri"/>
          <w:sz w:val="28"/>
          <w:szCs w:val="28"/>
          <w:lang w:val="uk-UA" w:eastAsia="en-US"/>
        </w:rPr>
        <w:t>2024 року</w:t>
      </w:r>
      <w:r w:rsidRPr="00B649EA">
        <w:rPr>
          <w:rFonts w:eastAsia="Calibri"/>
          <w:sz w:val="28"/>
          <w:szCs w:val="28"/>
          <w:lang w:val="uk-UA" w:eastAsia="en-US"/>
        </w:rPr>
        <w:tab/>
      </w:r>
      <w:r w:rsidRPr="00B649EA">
        <w:rPr>
          <w:rFonts w:eastAsia="Calibri"/>
          <w:sz w:val="28"/>
          <w:szCs w:val="28"/>
          <w:lang w:val="uk-UA" w:eastAsia="en-US"/>
        </w:rPr>
        <w:tab/>
      </w:r>
      <w:r w:rsidRPr="00B649EA">
        <w:rPr>
          <w:rFonts w:eastAsia="Calibri"/>
          <w:sz w:val="28"/>
          <w:szCs w:val="28"/>
          <w:lang w:val="uk-UA" w:eastAsia="en-US"/>
        </w:rPr>
        <w:tab/>
      </w:r>
      <w:r w:rsidRPr="00B649EA">
        <w:rPr>
          <w:rFonts w:eastAsia="Calibri"/>
          <w:sz w:val="28"/>
          <w:szCs w:val="28"/>
          <w:lang w:val="uk-UA" w:eastAsia="en-US"/>
        </w:rPr>
        <w:tab/>
      </w:r>
      <w:r w:rsidRPr="00B649EA">
        <w:rPr>
          <w:rFonts w:eastAsia="Calibri"/>
          <w:sz w:val="28"/>
          <w:szCs w:val="28"/>
          <w:lang w:val="uk-UA" w:eastAsia="en-US"/>
        </w:rPr>
        <w:tab/>
      </w:r>
      <w:r w:rsidRPr="00B649EA">
        <w:rPr>
          <w:rFonts w:eastAsia="Calibri"/>
          <w:sz w:val="28"/>
          <w:szCs w:val="28"/>
          <w:lang w:val="uk-UA" w:eastAsia="en-US"/>
        </w:rPr>
        <w:tab/>
      </w:r>
      <w:r w:rsidRPr="00B649EA">
        <w:rPr>
          <w:rFonts w:eastAsia="Calibri"/>
          <w:sz w:val="28"/>
          <w:szCs w:val="28"/>
          <w:lang w:val="uk-UA" w:eastAsia="en-US"/>
        </w:rPr>
        <w:tab/>
        <w:t xml:space="preserve">       № 105</w:t>
      </w:r>
      <w:r>
        <w:rPr>
          <w:rFonts w:eastAsia="Calibri"/>
          <w:sz w:val="28"/>
          <w:szCs w:val="28"/>
          <w:lang w:val="uk-UA" w:eastAsia="en-US"/>
        </w:rPr>
        <w:t>3</w:t>
      </w:r>
      <w:r w:rsidRPr="00B649EA">
        <w:rPr>
          <w:rFonts w:eastAsia="Calibri"/>
          <w:sz w:val="28"/>
          <w:szCs w:val="28"/>
          <w:lang w:val="uk-UA" w:eastAsia="en-US"/>
        </w:rPr>
        <w:t>-</w:t>
      </w:r>
      <w:r w:rsidRPr="00B649EA">
        <w:rPr>
          <w:rFonts w:eastAsia="Calibri"/>
          <w:sz w:val="28"/>
          <w:szCs w:val="28"/>
          <w:lang w:val="en-US" w:eastAsia="en-US"/>
        </w:rPr>
        <w:t>V</w:t>
      </w:r>
      <w:r w:rsidRPr="00B649EA">
        <w:rPr>
          <w:rFonts w:eastAsia="Calibri"/>
          <w:sz w:val="28"/>
          <w:szCs w:val="28"/>
          <w:lang w:val="uk-UA" w:eastAsia="en-US"/>
        </w:rPr>
        <w:t>ІІІ</w:t>
      </w:r>
    </w:p>
    <w:p w:rsidR="0051609B" w:rsidRDefault="0051609B" w:rsidP="00BF53E2">
      <w:pPr>
        <w:suppressAutoHyphens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51609B" w:rsidRPr="0051609B" w:rsidRDefault="0051609B" w:rsidP="0051609B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51609B">
        <w:rPr>
          <w:b/>
          <w:sz w:val="28"/>
          <w:szCs w:val="28"/>
          <w:lang w:val="uk-UA" w:eastAsia="ar-SA"/>
        </w:rPr>
        <w:t xml:space="preserve">Про схвалення звіту </w:t>
      </w:r>
      <w:r w:rsidRPr="00745188">
        <w:rPr>
          <w:b/>
          <w:sz w:val="28"/>
          <w:szCs w:val="28"/>
          <w:lang w:val="uk-UA" w:eastAsia="ar-SA"/>
        </w:rPr>
        <w:t xml:space="preserve">щодо </w:t>
      </w:r>
      <w:r w:rsidRPr="0051609B">
        <w:rPr>
          <w:b/>
          <w:sz w:val="28"/>
          <w:szCs w:val="28"/>
          <w:lang w:val="uk-UA" w:eastAsia="ar-SA"/>
        </w:rPr>
        <w:t xml:space="preserve">виконання бюджету </w:t>
      </w:r>
    </w:p>
    <w:p w:rsidR="0051609B" w:rsidRPr="0051609B" w:rsidRDefault="0051609B" w:rsidP="00A832A8">
      <w:pPr>
        <w:suppressAutoHyphens/>
        <w:jc w:val="center"/>
        <w:rPr>
          <w:sz w:val="28"/>
          <w:szCs w:val="28"/>
          <w:u w:val="single"/>
          <w:lang w:val="uk-UA" w:eastAsia="ar-SA"/>
        </w:rPr>
      </w:pPr>
      <w:r w:rsidRPr="0051609B">
        <w:rPr>
          <w:b/>
          <w:sz w:val="28"/>
          <w:szCs w:val="28"/>
          <w:lang w:val="uk-UA" w:eastAsia="ar-SA"/>
        </w:rPr>
        <w:t xml:space="preserve">Ананьївської міської територіальної громади за </w:t>
      </w:r>
      <w:bookmarkStart w:id="0" w:name="_GoBack"/>
      <w:bookmarkEnd w:id="0"/>
      <w:r w:rsidRPr="0051609B">
        <w:rPr>
          <w:b/>
          <w:sz w:val="28"/>
          <w:szCs w:val="28"/>
          <w:lang w:val="uk-UA" w:eastAsia="ar-SA"/>
        </w:rPr>
        <w:t>202</w:t>
      </w:r>
      <w:r w:rsidR="00745188">
        <w:rPr>
          <w:b/>
          <w:sz w:val="28"/>
          <w:szCs w:val="28"/>
          <w:lang w:val="uk-UA" w:eastAsia="ar-SA"/>
        </w:rPr>
        <w:t xml:space="preserve">3 </w:t>
      </w:r>
      <w:r w:rsidRPr="0051609B">
        <w:rPr>
          <w:b/>
          <w:sz w:val="28"/>
          <w:szCs w:val="28"/>
          <w:lang w:val="uk-UA" w:eastAsia="ar-SA"/>
        </w:rPr>
        <w:t>рік</w:t>
      </w:r>
    </w:p>
    <w:p w:rsidR="0051609B" w:rsidRPr="00A832A8" w:rsidRDefault="0051609B" w:rsidP="00A832A8">
      <w:pPr>
        <w:suppressAutoHyphens/>
        <w:jc w:val="center"/>
        <w:rPr>
          <w:sz w:val="28"/>
          <w:szCs w:val="28"/>
          <w:u w:val="single"/>
          <w:lang w:val="uk-UA" w:eastAsia="ar-SA"/>
        </w:rPr>
      </w:pPr>
    </w:p>
    <w:p w:rsidR="0051609B" w:rsidRDefault="0051609B" w:rsidP="00A832A8">
      <w:pPr>
        <w:widowControl w:val="0"/>
        <w:suppressAutoHyphens/>
        <w:ind w:firstLine="709"/>
        <w:jc w:val="both"/>
        <w:rPr>
          <w:rFonts w:eastAsia="SimSun" w:cs="Lucida Sans"/>
          <w:kern w:val="2"/>
          <w:sz w:val="28"/>
          <w:szCs w:val="28"/>
          <w:lang w:val="uk-UA" w:eastAsia="hi-IN" w:bidi="hi-IN"/>
        </w:rPr>
      </w:pPr>
      <w:r w:rsidRPr="0051609B">
        <w:rPr>
          <w:rFonts w:eastAsia="SimSun" w:cs="Lucida Sans"/>
          <w:kern w:val="2"/>
          <w:sz w:val="28"/>
          <w:szCs w:val="28"/>
          <w:lang w:val="uk-UA" w:eastAsia="hi-IN" w:bidi="hi-IN"/>
        </w:rPr>
        <w:t xml:space="preserve">Відповідно до пункту 4 статті 80 Бюджетного кодексу України, на підставі  пункту  23 статті 26 Закону України "Про місцеве самоврядування в Україні", розглянувши звіт про виконання бюджету Ананьївської міської територіальної громади за 2023 рік, </w:t>
      </w:r>
      <w:r w:rsidRPr="0051609B">
        <w:rPr>
          <w:rFonts w:eastAsia="SimSun" w:cs="Mangal"/>
          <w:kern w:val="2"/>
          <w:sz w:val="28"/>
          <w:szCs w:val="28"/>
          <w:lang w:val="uk-UA" w:eastAsia="hi-IN" w:bidi="hi-IN"/>
        </w:rPr>
        <w:t xml:space="preserve">враховуючи висновки та рекомендації постійної комісії </w:t>
      </w:r>
      <w:r w:rsidR="00401F4B">
        <w:rPr>
          <w:rFonts w:eastAsia="SimSun" w:cs="Mangal"/>
          <w:kern w:val="2"/>
          <w:sz w:val="28"/>
          <w:szCs w:val="28"/>
          <w:lang w:val="uk-UA" w:eastAsia="hi-IN" w:bidi="hi-IN"/>
        </w:rPr>
        <w:t xml:space="preserve">Ананьївської </w:t>
      </w:r>
      <w:r w:rsidRPr="0051609B">
        <w:rPr>
          <w:rFonts w:eastAsia="SimSun" w:cs="Mangal"/>
          <w:kern w:val="2"/>
          <w:sz w:val="28"/>
          <w:szCs w:val="28"/>
          <w:lang w:val="uk-UA" w:eastAsia="hi-IN" w:bidi="hi-IN"/>
        </w:rPr>
        <w:t xml:space="preserve">міської ради з питань фінансів, бюджету, планування соціально-економічного розвитку, інвестицій та міжнародного співробітництва, </w:t>
      </w:r>
      <w:r w:rsidRPr="0051609B">
        <w:rPr>
          <w:rFonts w:eastAsia="SimSun" w:cs="Lucida Sans"/>
          <w:kern w:val="2"/>
          <w:sz w:val="28"/>
          <w:szCs w:val="28"/>
          <w:lang w:val="uk-UA" w:eastAsia="hi-IN" w:bidi="hi-IN"/>
        </w:rPr>
        <w:t xml:space="preserve"> Ананьївська міська рада </w:t>
      </w:r>
    </w:p>
    <w:p w:rsidR="00401F4B" w:rsidRPr="00401F4B" w:rsidRDefault="00401F4B" w:rsidP="00A832A8">
      <w:pPr>
        <w:widowControl w:val="0"/>
        <w:suppressAutoHyphens/>
        <w:ind w:firstLine="709"/>
        <w:jc w:val="both"/>
        <w:rPr>
          <w:rFonts w:eastAsia="SimSun" w:cs="Lucida Sans"/>
          <w:kern w:val="2"/>
          <w:lang w:val="uk-UA" w:eastAsia="hi-IN" w:bidi="hi-IN"/>
        </w:rPr>
      </w:pPr>
    </w:p>
    <w:p w:rsidR="0051609B" w:rsidRDefault="0051609B" w:rsidP="0040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ProbaPro" w:hAnsi="ProbaPro" w:cs="Courier New"/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</w:pPr>
      <w:r w:rsidRPr="0051609B">
        <w:rPr>
          <w:rFonts w:ascii="ProbaPro" w:hAnsi="ProbaPro" w:cs="Courier New"/>
          <w:b/>
          <w:bCs/>
          <w:color w:val="1D1D1B"/>
          <w:sz w:val="28"/>
          <w:szCs w:val="28"/>
          <w:bdr w:val="none" w:sz="0" w:space="0" w:color="auto" w:frame="1"/>
          <w:lang w:val="uk-UA" w:eastAsia="uk-UA"/>
        </w:rPr>
        <w:t>ВИРІШИЛА:</w:t>
      </w:r>
    </w:p>
    <w:p w:rsidR="00401F4B" w:rsidRPr="00401F4B" w:rsidRDefault="00401F4B" w:rsidP="00401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1D1D1B"/>
          <w:lang w:val="uk-UA" w:eastAsia="uk-UA"/>
        </w:rPr>
      </w:pPr>
    </w:p>
    <w:p w:rsidR="0051609B" w:rsidRPr="0051609B" w:rsidRDefault="0051609B" w:rsidP="00401F4B">
      <w:pPr>
        <w:ind w:firstLine="647"/>
        <w:jc w:val="both"/>
        <w:rPr>
          <w:sz w:val="28"/>
          <w:szCs w:val="28"/>
          <w:lang w:val="uk-UA" w:eastAsia="uk-UA"/>
        </w:rPr>
      </w:pPr>
      <w:r w:rsidRPr="0051609B">
        <w:rPr>
          <w:rFonts w:ascii="ProbaPro" w:hAnsi="ProbaPro"/>
          <w:color w:val="000000"/>
          <w:sz w:val="28"/>
          <w:szCs w:val="28"/>
          <w:lang w:val="uk-UA" w:eastAsia="uk-UA"/>
        </w:rPr>
        <w:t>1. Схвалити  звіт  про виконання бюджету Ананьївської міської тер</w:t>
      </w:r>
      <w:r w:rsidR="00401F4B">
        <w:rPr>
          <w:rFonts w:ascii="ProbaPro" w:hAnsi="ProbaPro"/>
          <w:color w:val="000000"/>
          <w:sz w:val="28"/>
          <w:szCs w:val="28"/>
          <w:lang w:val="uk-UA" w:eastAsia="uk-UA"/>
        </w:rPr>
        <w:t>иторіальної громади за 2023 рік</w:t>
      </w:r>
      <w:r w:rsidRPr="0051609B">
        <w:rPr>
          <w:sz w:val="28"/>
          <w:szCs w:val="28"/>
          <w:lang w:val="uk-UA" w:eastAsia="uk-UA"/>
        </w:rPr>
        <w:t>:</w:t>
      </w:r>
    </w:p>
    <w:p w:rsidR="0051609B" w:rsidRPr="0051609B" w:rsidRDefault="0051609B" w:rsidP="00401F4B">
      <w:pPr>
        <w:ind w:firstLine="647"/>
        <w:jc w:val="both"/>
        <w:rPr>
          <w:sz w:val="28"/>
          <w:szCs w:val="28"/>
          <w:lang w:val="uk-UA" w:eastAsia="uk-UA"/>
        </w:rPr>
      </w:pPr>
      <w:r w:rsidRPr="0051609B">
        <w:rPr>
          <w:sz w:val="28"/>
          <w:szCs w:val="28"/>
          <w:lang w:val="uk-UA" w:eastAsia="uk-UA"/>
        </w:rPr>
        <w:t xml:space="preserve">1.1. По доходах у сумі </w:t>
      </w:r>
      <w:r w:rsidRPr="0051609B">
        <w:rPr>
          <w:sz w:val="28"/>
          <w:szCs w:val="28"/>
          <w:lang w:eastAsia="uk-UA"/>
        </w:rPr>
        <w:t>297</w:t>
      </w:r>
      <w:r w:rsidRPr="0051609B">
        <w:rPr>
          <w:sz w:val="28"/>
          <w:szCs w:val="28"/>
          <w:lang w:val="uk-UA" w:eastAsia="uk-UA"/>
        </w:rPr>
        <w:t> </w:t>
      </w:r>
      <w:r w:rsidRPr="0051609B">
        <w:rPr>
          <w:sz w:val="28"/>
          <w:szCs w:val="28"/>
          <w:lang w:eastAsia="uk-UA"/>
        </w:rPr>
        <w:t>574 865</w:t>
      </w:r>
      <w:r w:rsidRPr="0051609B">
        <w:rPr>
          <w:sz w:val="28"/>
          <w:szCs w:val="28"/>
          <w:lang w:val="uk-UA" w:eastAsia="uk-UA"/>
        </w:rPr>
        <w:t>,</w:t>
      </w:r>
      <w:r w:rsidRPr="0051609B">
        <w:rPr>
          <w:sz w:val="28"/>
          <w:szCs w:val="28"/>
          <w:lang w:eastAsia="uk-UA"/>
        </w:rPr>
        <w:t>50</w:t>
      </w:r>
      <w:r w:rsidRPr="0051609B">
        <w:rPr>
          <w:sz w:val="28"/>
          <w:szCs w:val="28"/>
          <w:lang w:val="uk-UA" w:eastAsia="uk-UA"/>
        </w:rPr>
        <w:t xml:space="preserve"> грн., з них по загальному фонду у сумі</w:t>
      </w:r>
      <w:r w:rsidRPr="0051609B">
        <w:rPr>
          <w:sz w:val="28"/>
          <w:szCs w:val="28"/>
          <w:lang w:eastAsia="uk-UA"/>
        </w:rPr>
        <w:t xml:space="preserve"> 286</w:t>
      </w:r>
      <w:r w:rsidRPr="0051609B">
        <w:rPr>
          <w:sz w:val="28"/>
          <w:szCs w:val="28"/>
          <w:lang w:val="en-US" w:eastAsia="uk-UA"/>
        </w:rPr>
        <w:t> </w:t>
      </w:r>
      <w:r w:rsidRPr="0051609B">
        <w:rPr>
          <w:sz w:val="28"/>
          <w:szCs w:val="28"/>
          <w:lang w:val="uk-UA" w:eastAsia="uk-UA"/>
        </w:rPr>
        <w:t>569</w:t>
      </w:r>
      <w:r w:rsidR="00A43AA1">
        <w:rPr>
          <w:sz w:val="28"/>
          <w:szCs w:val="28"/>
          <w:lang w:val="uk-UA" w:eastAsia="uk-UA"/>
        </w:rPr>
        <w:t> </w:t>
      </w:r>
      <w:r w:rsidRPr="0051609B">
        <w:rPr>
          <w:sz w:val="28"/>
          <w:szCs w:val="28"/>
          <w:lang w:val="uk-UA" w:eastAsia="uk-UA"/>
        </w:rPr>
        <w:t>043</w:t>
      </w:r>
      <w:r w:rsidR="00A43AA1">
        <w:rPr>
          <w:sz w:val="28"/>
          <w:szCs w:val="28"/>
          <w:lang w:val="uk-UA" w:eastAsia="uk-UA"/>
        </w:rPr>
        <w:t>,</w:t>
      </w:r>
      <w:r w:rsidRPr="0051609B">
        <w:rPr>
          <w:sz w:val="28"/>
          <w:szCs w:val="28"/>
          <w:lang w:eastAsia="uk-UA"/>
        </w:rPr>
        <w:t>89</w:t>
      </w:r>
      <w:r w:rsidRPr="0051609B">
        <w:rPr>
          <w:sz w:val="28"/>
          <w:szCs w:val="28"/>
          <w:lang w:val="uk-UA" w:eastAsia="uk-UA"/>
        </w:rPr>
        <w:t xml:space="preserve"> грн</w:t>
      </w:r>
      <w:r w:rsidR="00A43AA1">
        <w:rPr>
          <w:sz w:val="28"/>
          <w:szCs w:val="28"/>
          <w:lang w:val="uk-UA" w:eastAsia="uk-UA"/>
        </w:rPr>
        <w:t>.</w:t>
      </w:r>
      <w:r w:rsidRPr="0051609B">
        <w:rPr>
          <w:sz w:val="28"/>
          <w:szCs w:val="28"/>
          <w:lang w:val="uk-UA" w:eastAsia="uk-UA"/>
        </w:rPr>
        <w:t xml:space="preserve">, по спеціальному фонду у сумі </w:t>
      </w:r>
      <w:r w:rsidRPr="0051609B">
        <w:rPr>
          <w:sz w:val="28"/>
          <w:szCs w:val="28"/>
          <w:lang w:eastAsia="uk-UA"/>
        </w:rPr>
        <w:t>11</w:t>
      </w:r>
      <w:r w:rsidRPr="0051609B">
        <w:rPr>
          <w:sz w:val="28"/>
          <w:szCs w:val="28"/>
          <w:lang w:val="en-US" w:eastAsia="uk-UA"/>
        </w:rPr>
        <w:t> </w:t>
      </w:r>
      <w:r w:rsidRPr="0051609B">
        <w:rPr>
          <w:sz w:val="28"/>
          <w:szCs w:val="28"/>
          <w:lang w:eastAsia="uk-UA"/>
        </w:rPr>
        <w:t>005</w:t>
      </w:r>
      <w:r w:rsidRPr="0051609B">
        <w:rPr>
          <w:sz w:val="28"/>
          <w:szCs w:val="28"/>
          <w:lang w:val="en-US" w:eastAsia="uk-UA"/>
        </w:rPr>
        <w:t> </w:t>
      </w:r>
      <w:r w:rsidRPr="0051609B">
        <w:rPr>
          <w:sz w:val="28"/>
          <w:szCs w:val="28"/>
          <w:lang w:eastAsia="uk-UA"/>
        </w:rPr>
        <w:t>821</w:t>
      </w:r>
      <w:r w:rsidRPr="0051609B">
        <w:rPr>
          <w:sz w:val="28"/>
          <w:szCs w:val="28"/>
          <w:lang w:val="uk-UA" w:eastAsia="uk-UA"/>
        </w:rPr>
        <w:t>,6</w:t>
      </w:r>
      <w:r w:rsidRPr="0051609B">
        <w:rPr>
          <w:sz w:val="28"/>
          <w:szCs w:val="28"/>
          <w:lang w:eastAsia="uk-UA"/>
        </w:rPr>
        <w:t>1</w:t>
      </w:r>
      <w:r w:rsidRPr="0051609B">
        <w:rPr>
          <w:sz w:val="28"/>
          <w:szCs w:val="28"/>
          <w:lang w:val="uk-UA" w:eastAsia="uk-UA"/>
        </w:rPr>
        <w:t xml:space="preserve"> грн</w:t>
      </w:r>
      <w:r w:rsidR="00A43AA1">
        <w:rPr>
          <w:sz w:val="28"/>
          <w:szCs w:val="28"/>
          <w:lang w:val="uk-UA" w:eastAsia="uk-UA"/>
        </w:rPr>
        <w:t>.,</w:t>
      </w:r>
      <w:r w:rsidRPr="0051609B">
        <w:rPr>
          <w:sz w:val="28"/>
          <w:szCs w:val="28"/>
          <w:lang w:val="uk-UA" w:eastAsia="uk-UA"/>
        </w:rPr>
        <w:t xml:space="preserve"> згідно з Додатком  1 до цього рішення;</w:t>
      </w:r>
    </w:p>
    <w:p w:rsidR="0051609B" w:rsidRPr="0051609B" w:rsidRDefault="0051609B" w:rsidP="00401F4B">
      <w:pPr>
        <w:ind w:firstLine="647"/>
        <w:jc w:val="both"/>
        <w:rPr>
          <w:sz w:val="28"/>
          <w:szCs w:val="28"/>
          <w:lang w:val="uk-UA" w:eastAsia="uk-UA"/>
        </w:rPr>
      </w:pPr>
      <w:r w:rsidRPr="0051609B">
        <w:rPr>
          <w:sz w:val="28"/>
          <w:szCs w:val="28"/>
          <w:lang w:val="uk-UA" w:eastAsia="uk-UA"/>
        </w:rPr>
        <w:t>1.2. По видатках у сумі 310 150 839,25  грн</w:t>
      </w:r>
      <w:r w:rsidR="00A43AA1">
        <w:rPr>
          <w:sz w:val="28"/>
          <w:szCs w:val="28"/>
          <w:lang w:val="uk-UA" w:eastAsia="uk-UA"/>
        </w:rPr>
        <w:t>.</w:t>
      </w:r>
      <w:r w:rsidRPr="0051609B">
        <w:rPr>
          <w:sz w:val="28"/>
          <w:szCs w:val="28"/>
          <w:lang w:val="uk-UA" w:eastAsia="uk-UA"/>
        </w:rPr>
        <w:t>, з них по загальному фонду у сумі</w:t>
      </w:r>
      <w:r w:rsidRPr="0051609B">
        <w:rPr>
          <w:sz w:val="28"/>
          <w:szCs w:val="28"/>
          <w:lang w:eastAsia="uk-UA"/>
        </w:rPr>
        <w:t xml:space="preserve"> 193 328 167,12</w:t>
      </w:r>
      <w:r w:rsidRPr="0051609B">
        <w:rPr>
          <w:sz w:val="28"/>
          <w:szCs w:val="28"/>
          <w:lang w:val="uk-UA" w:eastAsia="uk-UA"/>
        </w:rPr>
        <w:t xml:space="preserve"> грн</w:t>
      </w:r>
      <w:r w:rsidR="00A43AA1">
        <w:rPr>
          <w:sz w:val="28"/>
          <w:szCs w:val="28"/>
          <w:lang w:val="uk-UA" w:eastAsia="uk-UA"/>
        </w:rPr>
        <w:t>.</w:t>
      </w:r>
      <w:r w:rsidRPr="0051609B">
        <w:rPr>
          <w:sz w:val="28"/>
          <w:szCs w:val="28"/>
          <w:lang w:val="uk-UA" w:eastAsia="uk-UA"/>
        </w:rPr>
        <w:t>, по спеціальному фонду у сумі 116 822 672,13 грн</w:t>
      </w:r>
      <w:r w:rsidR="00A43AA1">
        <w:rPr>
          <w:sz w:val="28"/>
          <w:szCs w:val="28"/>
          <w:lang w:val="uk-UA" w:eastAsia="uk-UA"/>
        </w:rPr>
        <w:t>.,</w:t>
      </w:r>
      <w:r w:rsidRPr="0051609B">
        <w:rPr>
          <w:sz w:val="28"/>
          <w:szCs w:val="28"/>
          <w:lang w:val="uk-UA" w:eastAsia="uk-UA"/>
        </w:rPr>
        <w:t xml:space="preserve">  згідно з Додатком  2 до цього рішення</w:t>
      </w:r>
      <w:r w:rsidR="00A43AA1">
        <w:rPr>
          <w:sz w:val="28"/>
          <w:szCs w:val="28"/>
          <w:lang w:val="uk-UA" w:eastAsia="uk-UA"/>
        </w:rPr>
        <w:t>;</w:t>
      </w:r>
    </w:p>
    <w:p w:rsidR="0051609B" w:rsidRDefault="0051609B" w:rsidP="00401F4B">
      <w:pPr>
        <w:ind w:firstLine="647"/>
        <w:jc w:val="both"/>
        <w:rPr>
          <w:sz w:val="28"/>
          <w:szCs w:val="28"/>
          <w:lang w:val="uk-UA" w:eastAsia="uk-UA"/>
        </w:rPr>
      </w:pPr>
      <w:r w:rsidRPr="0051609B">
        <w:rPr>
          <w:sz w:val="28"/>
          <w:szCs w:val="28"/>
          <w:lang w:val="uk-UA" w:eastAsia="uk-UA"/>
        </w:rPr>
        <w:t>1.3. По джерелах фінансування</w:t>
      </w:r>
      <w:r w:rsidRPr="0051609B">
        <w:rPr>
          <w:lang w:val="uk-UA" w:eastAsia="uk-UA"/>
        </w:rPr>
        <w:t xml:space="preserve"> </w:t>
      </w:r>
      <w:r w:rsidRPr="0051609B">
        <w:rPr>
          <w:sz w:val="28"/>
          <w:szCs w:val="28"/>
          <w:lang w:val="uk-UA" w:eastAsia="uk-UA"/>
        </w:rPr>
        <w:t>бюджету профіцит бюджету у сумі 12575973,75 грн</w:t>
      </w:r>
      <w:r w:rsidR="00A43AA1">
        <w:rPr>
          <w:sz w:val="28"/>
          <w:szCs w:val="28"/>
          <w:lang w:val="uk-UA" w:eastAsia="uk-UA"/>
        </w:rPr>
        <w:t>.</w:t>
      </w:r>
      <w:r w:rsidRPr="0051609B">
        <w:rPr>
          <w:sz w:val="28"/>
          <w:szCs w:val="28"/>
          <w:lang w:val="uk-UA" w:eastAsia="uk-UA"/>
        </w:rPr>
        <w:t>, з них профіцит загального фонду бюджету у сумі 93240876,77 грн</w:t>
      </w:r>
      <w:r w:rsidR="00A43AA1">
        <w:rPr>
          <w:sz w:val="28"/>
          <w:szCs w:val="28"/>
          <w:lang w:val="uk-UA" w:eastAsia="uk-UA"/>
        </w:rPr>
        <w:t>.</w:t>
      </w:r>
      <w:r w:rsidRPr="0051609B">
        <w:rPr>
          <w:sz w:val="28"/>
          <w:szCs w:val="28"/>
          <w:lang w:val="uk-UA" w:eastAsia="uk-UA"/>
        </w:rPr>
        <w:t>, дефіцит спеціального бюджету у сумі 105816850,52 грн</w:t>
      </w:r>
      <w:r w:rsidR="00A43AA1">
        <w:rPr>
          <w:sz w:val="28"/>
          <w:szCs w:val="28"/>
          <w:lang w:val="uk-UA" w:eastAsia="uk-UA"/>
        </w:rPr>
        <w:t>.</w:t>
      </w:r>
      <w:r w:rsidRPr="0051609B">
        <w:rPr>
          <w:sz w:val="28"/>
          <w:szCs w:val="28"/>
          <w:lang w:val="uk-UA" w:eastAsia="uk-UA"/>
        </w:rPr>
        <w:t>, згідно з Додатком 3 до цього рішення.</w:t>
      </w:r>
    </w:p>
    <w:p w:rsidR="0051609B" w:rsidRDefault="0051609B" w:rsidP="00401F4B">
      <w:pPr>
        <w:ind w:firstLine="647"/>
        <w:jc w:val="both"/>
        <w:rPr>
          <w:sz w:val="28"/>
          <w:szCs w:val="28"/>
          <w:lang w:val="uk-UA" w:eastAsia="uk-UA"/>
        </w:rPr>
      </w:pPr>
      <w:r w:rsidRPr="0051609B">
        <w:rPr>
          <w:sz w:val="28"/>
          <w:szCs w:val="28"/>
          <w:lang w:val="uk-UA" w:eastAsia="uk-UA"/>
        </w:rPr>
        <w:t xml:space="preserve">2. Відповідно до частини 4 статті 28 Бюджетного кодексу України здійснити опублікування цього рішення на сайті </w:t>
      </w:r>
      <w:r w:rsidR="00AB46BA">
        <w:rPr>
          <w:sz w:val="28"/>
          <w:szCs w:val="28"/>
          <w:lang w:val="uk-UA" w:eastAsia="uk-UA"/>
        </w:rPr>
        <w:t xml:space="preserve">Ананьївської </w:t>
      </w:r>
      <w:r w:rsidRPr="0051609B">
        <w:rPr>
          <w:sz w:val="28"/>
          <w:szCs w:val="28"/>
          <w:lang w:val="uk-UA" w:eastAsia="uk-UA"/>
        </w:rPr>
        <w:t>міської ради.</w:t>
      </w:r>
    </w:p>
    <w:p w:rsidR="0051609B" w:rsidRDefault="0051609B" w:rsidP="00401F4B">
      <w:pPr>
        <w:suppressAutoHyphens/>
        <w:jc w:val="both"/>
        <w:rPr>
          <w:sz w:val="28"/>
          <w:szCs w:val="28"/>
          <w:lang w:val="uk-UA" w:eastAsia="uk-UA"/>
        </w:rPr>
      </w:pPr>
      <w:r w:rsidRPr="0051609B">
        <w:rPr>
          <w:sz w:val="28"/>
          <w:szCs w:val="28"/>
          <w:lang w:val="uk-UA" w:eastAsia="uk-UA"/>
        </w:rPr>
        <w:t xml:space="preserve">         3. Контроль за виконання цього рішення покласти на постійну комісію </w:t>
      </w:r>
      <w:r w:rsidR="00A43AA1">
        <w:rPr>
          <w:sz w:val="28"/>
          <w:szCs w:val="28"/>
          <w:lang w:val="uk-UA" w:eastAsia="uk-UA"/>
        </w:rPr>
        <w:t xml:space="preserve">Ананьївської </w:t>
      </w:r>
      <w:r w:rsidRPr="0051609B">
        <w:rPr>
          <w:sz w:val="28"/>
          <w:szCs w:val="28"/>
          <w:lang w:val="uk-UA" w:eastAsia="uk-UA"/>
        </w:rPr>
        <w:t>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401F4B" w:rsidRPr="007F5CCD" w:rsidRDefault="00401F4B" w:rsidP="00401F4B">
      <w:pPr>
        <w:suppressAutoHyphens/>
        <w:jc w:val="both"/>
        <w:rPr>
          <w:lang w:val="uk-UA" w:eastAsia="uk-UA"/>
        </w:rPr>
      </w:pPr>
    </w:p>
    <w:p w:rsidR="0051609B" w:rsidRPr="007F5CCD" w:rsidRDefault="0051609B" w:rsidP="0051609B">
      <w:pPr>
        <w:shd w:val="clear" w:color="auto" w:fill="FFFFFF"/>
        <w:tabs>
          <w:tab w:val="left" w:pos="1185"/>
          <w:tab w:val="left" w:pos="1275"/>
        </w:tabs>
        <w:suppressAutoHyphens/>
        <w:spacing w:line="200" w:lineRule="atLeast"/>
        <w:ind w:firstLine="725"/>
        <w:jc w:val="both"/>
        <w:rPr>
          <w:rFonts w:eastAsia="Calibri"/>
          <w:lang w:val="uk-UA" w:eastAsia="ar-SA"/>
        </w:rPr>
      </w:pPr>
    </w:p>
    <w:p w:rsidR="00401F4B" w:rsidRPr="007F5CCD" w:rsidRDefault="00401F4B" w:rsidP="0051609B">
      <w:pPr>
        <w:suppressAutoHyphens/>
        <w:spacing w:line="200" w:lineRule="atLeast"/>
        <w:ind w:right="-1"/>
        <w:jc w:val="both"/>
        <w:rPr>
          <w:b/>
          <w:lang w:val="uk-UA" w:eastAsia="ar-SA"/>
        </w:rPr>
      </w:pPr>
    </w:p>
    <w:p w:rsidR="0051609B" w:rsidRDefault="0051609B" w:rsidP="0051609B">
      <w:pPr>
        <w:suppressAutoHyphens/>
        <w:spacing w:line="200" w:lineRule="atLeast"/>
        <w:ind w:right="-1"/>
        <w:jc w:val="both"/>
        <w:rPr>
          <w:b/>
          <w:sz w:val="28"/>
          <w:szCs w:val="28"/>
          <w:lang w:val="uk-UA" w:eastAsia="ar-SA"/>
        </w:rPr>
      </w:pPr>
      <w:r w:rsidRPr="0051609B">
        <w:rPr>
          <w:b/>
          <w:sz w:val="28"/>
          <w:szCs w:val="28"/>
          <w:lang w:val="uk-UA" w:eastAsia="ar-SA"/>
        </w:rPr>
        <w:t xml:space="preserve">Ананьївський міський голова </w:t>
      </w:r>
      <w:r w:rsidRPr="0051609B">
        <w:rPr>
          <w:b/>
          <w:sz w:val="28"/>
          <w:szCs w:val="28"/>
          <w:lang w:val="uk-UA" w:eastAsia="ar-SA"/>
        </w:rPr>
        <w:tab/>
      </w:r>
      <w:r w:rsidRPr="0051609B">
        <w:rPr>
          <w:b/>
          <w:sz w:val="28"/>
          <w:szCs w:val="28"/>
          <w:lang w:val="uk-UA" w:eastAsia="ar-SA"/>
        </w:rPr>
        <w:tab/>
      </w:r>
      <w:r w:rsidRPr="0051609B">
        <w:rPr>
          <w:b/>
          <w:sz w:val="28"/>
          <w:szCs w:val="28"/>
          <w:lang w:val="uk-UA" w:eastAsia="ar-SA"/>
        </w:rPr>
        <w:tab/>
      </w:r>
      <w:r w:rsidRPr="0051609B">
        <w:rPr>
          <w:b/>
          <w:sz w:val="28"/>
          <w:szCs w:val="28"/>
          <w:lang w:val="uk-UA" w:eastAsia="ar-SA"/>
        </w:rPr>
        <w:tab/>
      </w:r>
      <w:r w:rsidR="00401F4B">
        <w:rPr>
          <w:b/>
          <w:sz w:val="28"/>
          <w:szCs w:val="28"/>
          <w:lang w:val="uk-UA" w:eastAsia="ar-SA"/>
        </w:rPr>
        <w:t xml:space="preserve">         </w:t>
      </w:r>
      <w:r w:rsidRPr="0051609B">
        <w:rPr>
          <w:b/>
          <w:sz w:val="28"/>
          <w:szCs w:val="28"/>
          <w:lang w:val="uk-UA" w:eastAsia="ar-SA"/>
        </w:rPr>
        <w:t>Юрій ТИЩЕНКО</w:t>
      </w:r>
    </w:p>
    <w:p w:rsidR="00401F4B" w:rsidRDefault="00401F4B" w:rsidP="0051609B">
      <w:pPr>
        <w:suppressAutoHyphens/>
        <w:spacing w:line="200" w:lineRule="atLeast"/>
        <w:ind w:right="-1"/>
        <w:jc w:val="both"/>
        <w:rPr>
          <w:b/>
          <w:sz w:val="28"/>
          <w:szCs w:val="28"/>
          <w:lang w:val="uk-UA" w:eastAsia="ar-SA"/>
        </w:rPr>
      </w:pPr>
    </w:p>
    <w:p w:rsidR="00FF633C" w:rsidRPr="00FF633C" w:rsidRDefault="002F3975" w:rsidP="00FF633C">
      <w:pPr>
        <w:ind w:firstLine="52"/>
        <w:jc w:val="center"/>
        <w:rPr>
          <w:b/>
          <w:spacing w:val="-1"/>
          <w:sz w:val="32"/>
          <w:szCs w:val="32"/>
          <w:lang w:val="uk-UA"/>
        </w:rPr>
      </w:pPr>
      <w:r>
        <w:rPr>
          <w:noProof/>
          <w:szCs w:val="20"/>
          <w:lang w:val="uk-UA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31pt;margin-top:34.45pt;width:27pt;height:9pt;z-index:251659264">
            <v:shadow color="#868686"/>
            <v:textpath style="font-family:&quot;Arial&quot;;v-text-kern:t" trim="t" fitpath="t" string="60 мм"/>
          </v:shape>
        </w:pict>
      </w:r>
      <w:r w:rsidR="00FF633C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18160" cy="685800"/>
            <wp:effectExtent l="0" t="0" r="0" b="0"/>
            <wp:docPr id="6" name="Рисунок 6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33C" w:rsidRPr="00FF633C" w:rsidRDefault="00FF633C" w:rsidP="00FF633C">
      <w:pPr>
        <w:ind w:firstLine="52"/>
        <w:jc w:val="center"/>
        <w:rPr>
          <w:b/>
          <w:spacing w:val="-1"/>
          <w:sz w:val="28"/>
          <w:szCs w:val="28"/>
          <w:lang w:val="uk-UA"/>
        </w:rPr>
      </w:pPr>
      <w:r w:rsidRPr="00FF633C">
        <w:rPr>
          <w:b/>
          <w:spacing w:val="-1"/>
          <w:sz w:val="28"/>
          <w:szCs w:val="28"/>
          <w:lang w:val="uk-UA"/>
        </w:rPr>
        <w:t>УКРАЇНА</w:t>
      </w:r>
    </w:p>
    <w:p w:rsidR="00FF633C" w:rsidRPr="00FF633C" w:rsidRDefault="00FF633C" w:rsidP="00FF633C">
      <w:pPr>
        <w:jc w:val="center"/>
        <w:rPr>
          <w:b/>
          <w:sz w:val="28"/>
          <w:szCs w:val="28"/>
          <w:lang w:val="uk-UA"/>
        </w:rPr>
      </w:pPr>
      <w:r w:rsidRPr="00FF633C">
        <w:rPr>
          <w:b/>
          <w:spacing w:val="-1"/>
          <w:sz w:val="28"/>
          <w:szCs w:val="28"/>
          <w:lang w:val="uk-UA"/>
        </w:rPr>
        <w:t xml:space="preserve">АНАНЬЇВСЬКА </w:t>
      </w:r>
      <w:r w:rsidRPr="00FF633C">
        <w:rPr>
          <w:b/>
          <w:sz w:val="28"/>
          <w:szCs w:val="28"/>
          <w:lang w:val="uk-UA"/>
        </w:rPr>
        <w:t>МІСЬКА РАДА</w:t>
      </w:r>
    </w:p>
    <w:p w:rsidR="00FF633C" w:rsidRPr="00FF633C" w:rsidRDefault="00FF633C" w:rsidP="00FF633C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b/>
          <w:sz w:val="30"/>
          <w:szCs w:val="30"/>
          <w:lang w:val="uk-UA"/>
        </w:rPr>
      </w:pPr>
      <w:r w:rsidRPr="00FF633C">
        <w:rPr>
          <w:b/>
          <w:sz w:val="30"/>
          <w:szCs w:val="30"/>
          <w:lang w:val="uk-UA"/>
        </w:rPr>
        <w:t>ФІНАНСОВЕ УПРАВЛІННЯ АНАНЬЇВСЬКОЇ МІСЬКОЇ РАДИ</w:t>
      </w:r>
    </w:p>
    <w:p w:rsidR="00FF633C" w:rsidRPr="00FF633C" w:rsidRDefault="00FF633C" w:rsidP="00FF633C">
      <w:pPr>
        <w:jc w:val="center"/>
        <w:rPr>
          <w:szCs w:val="20"/>
          <w:lang w:val="uk-UA"/>
        </w:rPr>
      </w:pPr>
      <w:r w:rsidRPr="00FF633C">
        <w:rPr>
          <w:szCs w:val="20"/>
          <w:lang w:val="uk-UA"/>
        </w:rPr>
        <w:t>66400 м. Ананьїв Одеської області, вул. Незалежності, 51                                                            e-</w:t>
      </w:r>
      <w:proofErr w:type="spellStart"/>
      <w:r w:rsidRPr="00FF633C">
        <w:rPr>
          <w:szCs w:val="20"/>
          <w:lang w:val="uk-UA"/>
        </w:rPr>
        <w:t>mail</w:t>
      </w:r>
      <w:proofErr w:type="spellEnd"/>
      <w:r w:rsidRPr="00FF633C">
        <w:rPr>
          <w:szCs w:val="20"/>
          <w:lang w:val="uk-UA"/>
        </w:rPr>
        <w:t xml:space="preserve">: </w:t>
      </w:r>
      <w:proofErr w:type="spellStart"/>
      <w:r w:rsidRPr="00FF633C">
        <w:rPr>
          <w:szCs w:val="20"/>
          <w:lang w:val="en-US"/>
        </w:rPr>
        <w:t>fuananmiskrada</w:t>
      </w:r>
      <w:proofErr w:type="spellEnd"/>
      <w:r w:rsidRPr="00FF633C">
        <w:rPr>
          <w:szCs w:val="20"/>
          <w:lang w:val="uk-UA"/>
        </w:rPr>
        <w:t>@ukr.net код ЄДРПОУ 43912864</w:t>
      </w:r>
    </w:p>
    <w:p w:rsidR="00FF633C" w:rsidRPr="00FF633C" w:rsidRDefault="00FF633C" w:rsidP="00FF633C">
      <w:pPr>
        <w:jc w:val="center"/>
        <w:rPr>
          <w:sz w:val="28"/>
          <w:szCs w:val="28"/>
          <w:lang w:val="uk-UA" w:eastAsia="zh-CN"/>
        </w:rPr>
      </w:pPr>
    </w:p>
    <w:p w:rsidR="00FF633C" w:rsidRPr="00FF633C" w:rsidRDefault="00FF633C" w:rsidP="00FF633C">
      <w:pPr>
        <w:jc w:val="center"/>
        <w:rPr>
          <w:sz w:val="28"/>
          <w:szCs w:val="28"/>
          <w:lang w:val="uk-UA" w:eastAsia="zh-CN"/>
        </w:rPr>
      </w:pPr>
    </w:p>
    <w:p w:rsidR="00FF633C" w:rsidRPr="003B110A" w:rsidRDefault="00FF633C" w:rsidP="00FF633C">
      <w:pPr>
        <w:jc w:val="center"/>
        <w:rPr>
          <w:b/>
          <w:sz w:val="28"/>
          <w:szCs w:val="28"/>
          <w:lang w:val="uk-UA" w:eastAsia="zh-CN"/>
        </w:rPr>
      </w:pPr>
      <w:r w:rsidRPr="003B110A">
        <w:rPr>
          <w:b/>
          <w:sz w:val="28"/>
          <w:szCs w:val="28"/>
          <w:lang w:val="uk-UA" w:eastAsia="zh-CN"/>
        </w:rPr>
        <w:t xml:space="preserve">Пояснювальна записка до звіту </w:t>
      </w:r>
      <w:r w:rsidR="007F5CCD">
        <w:rPr>
          <w:b/>
          <w:sz w:val="28"/>
          <w:szCs w:val="28"/>
          <w:lang w:val="uk-UA" w:eastAsia="zh-CN"/>
        </w:rPr>
        <w:t>щодо</w:t>
      </w:r>
      <w:r w:rsidRPr="003B110A">
        <w:rPr>
          <w:b/>
          <w:sz w:val="28"/>
          <w:szCs w:val="28"/>
          <w:lang w:val="uk-UA" w:eastAsia="zh-CN"/>
        </w:rPr>
        <w:t xml:space="preserve"> виконання місцевого бюджету</w:t>
      </w:r>
    </w:p>
    <w:p w:rsidR="00FF633C" w:rsidRPr="003B110A" w:rsidRDefault="00FF633C" w:rsidP="00FF633C">
      <w:pPr>
        <w:jc w:val="center"/>
        <w:rPr>
          <w:b/>
          <w:sz w:val="28"/>
          <w:szCs w:val="28"/>
          <w:lang w:val="uk-UA" w:eastAsia="zh-CN"/>
        </w:rPr>
      </w:pPr>
      <w:r w:rsidRPr="003B110A">
        <w:rPr>
          <w:b/>
          <w:sz w:val="28"/>
          <w:szCs w:val="28"/>
          <w:lang w:val="uk-UA" w:eastAsia="zh-CN"/>
        </w:rPr>
        <w:t xml:space="preserve">Ананьївської міської територіальної громади </w:t>
      </w:r>
    </w:p>
    <w:p w:rsidR="00FF633C" w:rsidRDefault="00FF633C" w:rsidP="00FF633C">
      <w:pPr>
        <w:jc w:val="center"/>
        <w:rPr>
          <w:b/>
          <w:sz w:val="28"/>
          <w:szCs w:val="28"/>
          <w:lang w:val="uk-UA" w:eastAsia="zh-CN"/>
        </w:rPr>
      </w:pPr>
      <w:r w:rsidRPr="003B110A">
        <w:rPr>
          <w:b/>
          <w:sz w:val="28"/>
          <w:szCs w:val="28"/>
          <w:lang w:val="uk-UA" w:eastAsia="zh-CN"/>
        </w:rPr>
        <w:t>за  січень - грудень 2023 року</w:t>
      </w:r>
    </w:p>
    <w:p w:rsidR="003B110A" w:rsidRPr="003B110A" w:rsidRDefault="003B110A" w:rsidP="00FF633C">
      <w:pPr>
        <w:jc w:val="center"/>
        <w:rPr>
          <w:sz w:val="28"/>
          <w:szCs w:val="28"/>
          <w:lang w:val="uk-UA" w:eastAsia="zh-CN"/>
        </w:rPr>
      </w:pPr>
    </w:p>
    <w:p w:rsidR="00FF633C" w:rsidRPr="007F5CCD" w:rsidRDefault="00FF633C" w:rsidP="00FF633C">
      <w:pPr>
        <w:numPr>
          <w:ilvl w:val="0"/>
          <w:numId w:val="31"/>
        </w:numPr>
        <w:jc w:val="both"/>
        <w:rPr>
          <w:b/>
          <w:sz w:val="28"/>
          <w:szCs w:val="28"/>
          <w:lang w:val="uk-UA" w:eastAsia="zh-CN"/>
        </w:rPr>
      </w:pPr>
      <w:r w:rsidRPr="007F5CCD">
        <w:rPr>
          <w:b/>
          <w:sz w:val="28"/>
          <w:szCs w:val="28"/>
          <w:lang w:val="uk-UA" w:eastAsia="zh-CN"/>
        </w:rPr>
        <w:t>Доходи</w:t>
      </w:r>
    </w:p>
    <w:p w:rsidR="003B110A" w:rsidRPr="00FF633C" w:rsidRDefault="003B110A" w:rsidP="003B110A">
      <w:pPr>
        <w:ind w:left="1080"/>
        <w:jc w:val="both"/>
        <w:rPr>
          <w:sz w:val="28"/>
          <w:szCs w:val="28"/>
          <w:lang w:val="uk-UA" w:eastAsia="zh-CN"/>
        </w:rPr>
      </w:pPr>
    </w:p>
    <w:p w:rsidR="00FF633C" w:rsidRPr="00FF633C" w:rsidRDefault="00FF633C" w:rsidP="003B110A">
      <w:pPr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 Виконання планових показників дохідної частини бюджету Ананьївської міської територіальної громади  по загальному фонду з урахуванням внесених змін  за січень - грудень 2023 року становить </w:t>
      </w:r>
      <w:r w:rsidR="00E63EBF">
        <w:rPr>
          <w:sz w:val="28"/>
          <w:szCs w:val="28"/>
          <w:lang w:val="uk-UA"/>
        </w:rPr>
        <w:t xml:space="preserve">106,7% при плані 197 167,3 </w:t>
      </w:r>
      <w:proofErr w:type="spellStart"/>
      <w:r w:rsidR="00E63EB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 фа</w:t>
      </w:r>
      <w:r w:rsidR="00E63EBF">
        <w:rPr>
          <w:sz w:val="28"/>
          <w:szCs w:val="28"/>
          <w:lang w:val="uk-UA"/>
        </w:rPr>
        <w:t xml:space="preserve">ктично надійшло 210 420,7  </w:t>
      </w:r>
      <w:proofErr w:type="spellStart"/>
      <w:r w:rsidR="00E63EB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</w:t>
      </w:r>
      <w:r w:rsidR="00E63EBF">
        <w:rPr>
          <w:sz w:val="28"/>
          <w:szCs w:val="28"/>
          <w:lang w:val="uk-UA"/>
        </w:rPr>
        <w:t xml:space="preserve">,  або на  13253,5 </w:t>
      </w:r>
      <w:proofErr w:type="spellStart"/>
      <w:r w:rsidR="00E63EBF">
        <w:rPr>
          <w:sz w:val="28"/>
          <w:szCs w:val="28"/>
          <w:lang w:val="uk-UA"/>
        </w:rPr>
        <w:t>тис.</w:t>
      </w:r>
      <w:r w:rsidR="003B110A">
        <w:rPr>
          <w:sz w:val="28"/>
          <w:szCs w:val="28"/>
          <w:lang w:val="uk-UA"/>
        </w:rPr>
        <w:t>грн</w:t>
      </w:r>
      <w:proofErr w:type="spellEnd"/>
      <w:r w:rsidR="003B110A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більше.</w:t>
      </w:r>
      <w:r w:rsidRPr="00FF633C">
        <w:rPr>
          <w:sz w:val="28"/>
          <w:szCs w:val="28"/>
          <w:lang w:val="uk-UA"/>
        </w:rPr>
        <w:tab/>
      </w:r>
    </w:p>
    <w:p w:rsidR="00FF633C" w:rsidRPr="00FF633C" w:rsidRDefault="00FF633C" w:rsidP="00FF633C">
      <w:pPr>
        <w:jc w:val="both"/>
        <w:rPr>
          <w:b/>
          <w:bCs/>
          <w:highlight w:val="yellow"/>
          <w:lang w:val="uk-UA"/>
        </w:rPr>
      </w:pPr>
      <w:r w:rsidRPr="00FF633C">
        <w:rPr>
          <w:sz w:val="28"/>
          <w:szCs w:val="28"/>
          <w:lang w:val="uk-UA"/>
        </w:rPr>
        <w:t xml:space="preserve">        </w:t>
      </w:r>
    </w:p>
    <w:p w:rsidR="00FF633C" w:rsidRPr="00FF633C" w:rsidRDefault="00FF633C" w:rsidP="00FF633C">
      <w:pPr>
        <w:jc w:val="center"/>
        <w:rPr>
          <w:b/>
          <w:bCs/>
          <w:lang w:val="uk-UA"/>
        </w:rPr>
      </w:pPr>
      <w:r w:rsidRPr="00FF633C">
        <w:rPr>
          <w:b/>
          <w:bCs/>
          <w:lang w:val="uk-UA"/>
        </w:rPr>
        <w:t xml:space="preserve">Структура фактичного формування надходжень </w:t>
      </w:r>
      <w:r w:rsidRPr="00FF633C">
        <w:rPr>
          <w:b/>
          <w:bCs/>
        </w:rPr>
        <w:t xml:space="preserve"> </w:t>
      </w:r>
      <w:r w:rsidRPr="00FF633C">
        <w:rPr>
          <w:b/>
          <w:bCs/>
          <w:lang w:val="uk-UA"/>
        </w:rPr>
        <w:t>бюджету  Ананьївської міської територіальної громади</w:t>
      </w:r>
      <w:r w:rsidR="003B110A">
        <w:rPr>
          <w:b/>
          <w:bCs/>
          <w:lang w:val="uk-UA"/>
        </w:rPr>
        <w:t xml:space="preserve"> </w:t>
      </w:r>
      <w:r w:rsidRPr="00FF633C">
        <w:rPr>
          <w:b/>
          <w:bCs/>
          <w:lang w:val="uk-UA"/>
        </w:rPr>
        <w:t xml:space="preserve"> у січні - грудні 2023 році</w:t>
      </w:r>
    </w:p>
    <w:p w:rsidR="00FF633C" w:rsidRPr="00FF633C" w:rsidRDefault="00FF633C" w:rsidP="00FF633C">
      <w:pPr>
        <w:jc w:val="center"/>
        <w:rPr>
          <w:b/>
          <w:bCs/>
          <w:lang w:val="uk-UA"/>
        </w:rPr>
      </w:pPr>
      <w:r w:rsidRPr="00FF633C">
        <w:rPr>
          <w:b/>
          <w:bCs/>
          <w:lang w:val="uk-UA"/>
        </w:rPr>
        <w:t xml:space="preserve">Всього 297 574,9 </w:t>
      </w:r>
      <w:proofErr w:type="spellStart"/>
      <w:r w:rsidRPr="00FF633C">
        <w:rPr>
          <w:b/>
          <w:bCs/>
          <w:lang w:val="uk-UA"/>
        </w:rPr>
        <w:t>тис.грн</w:t>
      </w:r>
      <w:proofErr w:type="spellEnd"/>
      <w:r w:rsidRPr="00FF633C">
        <w:rPr>
          <w:b/>
          <w:bCs/>
          <w:lang w:val="uk-UA"/>
        </w:rPr>
        <w:t>.</w:t>
      </w:r>
    </w:p>
    <w:p w:rsidR="00FF633C" w:rsidRPr="00FF633C" w:rsidRDefault="00FF633C" w:rsidP="00FF633C">
      <w:pPr>
        <w:jc w:val="center"/>
        <w:rPr>
          <w:sz w:val="20"/>
          <w:szCs w:val="20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5890260" cy="279654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F633C" w:rsidRPr="00FF633C" w:rsidRDefault="00FF633C" w:rsidP="003B110A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Загальний фонд власних надходжень  бюджету за січень - грудень 2023 року (без урахування трансфертів) виконано на 106,7%. </w:t>
      </w:r>
    </w:p>
    <w:p w:rsidR="00FF633C" w:rsidRPr="00FF633C" w:rsidRDefault="00FF633C" w:rsidP="00FF633C">
      <w:pPr>
        <w:shd w:val="clear" w:color="auto" w:fill="FFFFFF"/>
        <w:tabs>
          <w:tab w:val="left" w:pos="5380"/>
        </w:tabs>
        <w:jc w:val="both"/>
        <w:rPr>
          <w:szCs w:val="20"/>
          <w:lang w:val="uk-UA"/>
        </w:rPr>
      </w:pPr>
      <w:r w:rsidRPr="00FF633C">
        <w:rPr>
          <w:sz w:val="28"/>
          <w:szCs w:val="28"/>
          <w:lang w:val="uk-UA"/>
        </w:rPr>
        <w:t xml:space="preserve">         При плані  197 167,3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фактично надійшло 210 420,7 </w:t>
      </w:r>
      <w:r w:rsidR="003B110A">
        <w:rPr>
          <w:sz w:val="28"/>
          <w:szCs w:val="28"/>
          <w:lang w:val="uk-UA"/>
        </w:rPr>
        <w:t xml:space="preserve">тис. грн., що  на 13 253,5 </w:t>
      </w:r>
      <w:proofErr w:type="spellStart"/>
      <w:r w:rsidR="003B110A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 більше. Виконання бюджету по власним надходженням загального фонду в порівнянні до відповідного періоду минулого року  становить 139,5%, що на  59 583,8 тис. грн. більше.</w:t>
      </w:r>
      <w:r w:rsidRPr="00FF633C">
        <w:rPr>
          <w:szCs w:val="20"/>
        </w:rPr>
        <w:t xml:space="preserve"> </w:t>
      </w:r>
    </w:p>
    <w:p w:rsidR="00FF633C" w:rsidRPr="00FF633C" w:rsidRDefault="00FF633C" w:rsidP="00FF633C">
      <w:pPr>
        <w:shd w:val="clear" w:color="auto" w:fill="FFFFFF"/>
        <w:tabs>
          <w:tab w:val="left" w:pos="5380"/>
        </w:tabs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lastRenderedPageBreak/>
        <w:t xml:space="preserve">       Питома вага надходжень до бюджету  Ананьївської міської територіальної громади  по загальному фонду складає:</w:t>
      </w:r>
    </w:p>
    <w:p w:rsidR="00FF633C" w:rsidRPr="00FF633C" w:rsidRDefault="00FF633C" w:rsidP="00FF633C">
      <w:pPr>
        <w:shd w:val="clear" w:color="auto" w:fill="FFFFFF"/>
        <w:tabs>
          <w:tab w:val="left" w:pos="5380"/>
        </w:tabs>
        <w:jc w:val="both"/>
        <w:rPr>
          <w:sz w:val="28"/>
          <w:szCs w:val="28"/>
          <w:lang w:val="uk-UA"/>
        </w:rPr>
      </w:pPr>
    </w:p>
    <w:p w:rsidR="00FF633C" w:rsidRPr="00FF633C" w:rsidRDefault="00FF633C" w:rsidP="00FF633C">
      <w:pPr>
        <w:jc w:val="center"/>
        <w:rPr>
          <w:b/>
          <w:bCs/>
          <w:lang w:val="uk-UA"/>
        </w:rPr>
      </w:pPr>
      <w:r w:rsidRPr="00FF633C">
        <w:rPr>
          <w:b/>
          <w:bCs/>
          <w:lang w:val="uk-UA"/>
        </w:rPr>
        <w:t>Структура доходів загального фонду</w:t>
      </w:r>
      <w:r w:rsidR="00E63EBF">
        <w:rPr>
          <w:b/>
          <w:bCs/>
          <w:lang w:val="uk-UA"/>
        </w:rPr>
        <w:t xml:space="preserve"> </w:t>
      </w:r>
      <w:r w:rsidRPr="00FF633C">
        <w:rPr>
          <w:b/>
          <w:bCs/>
        </w:rPr>
        <w:t xml:space="preserve"> </w:t>
      </w:r>
      <w:r w:rsidRPr="00FF633C">
        <w:rPr>
          <w:b/>
          <w:bCs/>
          <w:lang w:val="uk-UA"/>
        </w:rPr>
        <w:t>бюджету  Ананьївської міської територіальної громади</w:t>
      </w:r>
      <w:r w:rsidR="00E63EBF">
        <w:rPr>
          <w:b/>
          <w:bCs/>
          <w:lang w:val="uk-UA"/>
        </w:rPr>
        <w:t xml:space="preserve"> </w:t>
      </w:r>
      <w:r w:rsidRPr="00FF633C">
        <w:rPr>
          <w:b/>
          <w:bCs/>
          <w:lang w:val="uk-UA"/>
        </w:rPr>
        <w:t xml:space="preserve"> в розрізі податків</w:t>
      </w:r>
      <w:r w:rsidRPr="00FF633C">
        <w:rPr>
          <w:b/>
          <w:bCs/>
        </w:rPr>
        <w:t xml:space="preserve"> </w:t>
      </w:r>
      <w:r w:rsidRPr="00FF633C">
        <w:rPr>
          <w:b/>
          <w:bCs/>
          <w:lang w:val="uk-UA"/>
        </w:rPr>
        <w:t>за січень - грудень 2023 року</w:t>
      </w:r>
    </w:p>
    <w:p w:rsidR="00FF633C" w:rsidRPr="00FF633C" w:rsidRDefault="00FF633C" w:rsidP="00FF633C">
      <w:pPr>
        <w:jc w:val="center"/>
        <w:rPr>
          <w:b/>
          <w:bCs/>
          <w:lang w:val="uk-UA"/>
        </w:rPr>
      </w:pPr>
      <w:r w:rsidRPr="00FF633C">
        <w:rPr>
          <w:b/>
          <w:bCs/>
          <w:lang w:val="uk-UA"/>
        </w:rPr>
        <w:t xml:space="preserve">Всього 210 420,7 </w:t>
      </w:r>
      <w:proofErr w:type="spellStart"/>
      <w:r w:rsidRPr="00FF633C">
        <w:rPr>
          <w:b/>
          <w:bCs/>
          <w:lang w:val="uk-UA"/>
        </w:rPr>
        <w:t>тис.грн</w:t>
      </w:r>
      <w:proofErr w:type="spellEnd"/>
      <w:r w:rsidRPr="00FF633C">
        <w:rPr>
          <w:b/>
          <w:bCs/>
          <w:lang w:val="uk-UA"/>
        </w:rPr>
        <w:t>.</w:t>
      </w:r>
    </w:p>
    <w:p w:rsidR="00FF633C" w:rsidRPr="00FF633C" w:rsidRDefault="00FF633C" w:rsidP="00FF633C">
      <w:pPr>
        <w:jc w:val="center"/>
        <w:rPr>
          <w:b/>
          <w:bCs/>
          <w:lang w:val="uk-UA"/>
        </w:rPr>
      </w:pPr>
    </w:p>
    <w:p w:rsidR="00FF633C" w:rsidRPr="00FF633C" w:rsidRDefault="00FF633C" w:rsidP="00FF633C">
      <w:pPr>
        <w:jc w:val="center"/>
        <w:rPr>
          <w:sz w:val="28"/>
          <w:szCs w:val="28"/>
          <w:lang w:val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6195060" cy="283464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633C" w:rsidRPr="00FF633C" w:rsidRDefault="00FF633C" w:rsidP="003B110A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Із тринадцяти джерел доходів загального фонду власних надходжень виконання є по всім.</w:t>
      </w:r>
    </w:p>
    <w:p w:rsidR="00FF633C" w:rsidRPr="00FF633C" w:rsidRDefault="00FF633C" w:rsidP="0064340C">
      <w:pPr>
        <w:shd w:val="clear" w:color="auto" w:fill="FFFFFF"/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Головним  джерелом надходжень є податок з доходів фізичних осіб, який виконано на 105,5%, питома вага в загальному фонді власних надходжень складає 73,0%, при плані 145 516,1 тис. грн., фактично надійшло  153 535,0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., що на 8 018,9 тис. грн. більше, темп росту до відповідного періоду – 135,6%. (</w:t>
      </w:r>
      <w:r w:rsidRPr="00FF633C">
        <w:rPr>
          <w:i/>
          <w:sz w:val="28"/>
          <w:szCs w:val="28"/>
          <w:lang w:val="uk-UA"/>
        </w:rPr>
        <w:t xml:space="preserve">Довідково: Позитивно вплинуло: за рахунок додаткових надходжень порівняно з минулим роком від: ПДФО за паї на 6 204,4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.; ПДФО, що сплачується фізичними особами за результатами річного декларування на 389,6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.; ПДФО у вигляді мінімального податкового зобов’язання, що підлягає сплаті фізичними особами на 547,2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 </w:t>
      </w:r>
    </w:p>
    <w:p w:rsidR="00FF633C" w:rsidRDefault="0064340C" w:rsidP="00FF633C">
      <w:pPr>
        <w:shd w:val="clear" w:color="auto" w:fill="FFFFFF"/>
        <w:tabs>
          <w:tab w:val="left" w:pos="5380"/>
        </w:tabs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Негативно вплинуло: з</w:t>
      </w:r>
      <w:r w:rsidR="00FF633C" w:rsidRPr="00FF633C">
        <w:rPr>
          <w:i/>
          <w:sz w:val="28"/>
          <w:szCs w:val="28"/>
          <w:lang w:val="uk-UA"/>
        </w:rPr>
        <w:t>астосування положення ЗУ «Про внесення змін до БКУ щодо забезпечення підтримки обороноздатності держави та розвитку оборонно-промислового комплексу України» від 08.11.2023 р. №3428-ІХ. знято (з жовтня по грудень місяць 2023 року) зарахування ПДФО від грошового забезпечення військовослужбовців з місцевого бюджет Ананьївської міської територіальної громади в сумі 19 989 613,03 грн.</w:t>
      </w:r>
      <w:r w:rsidR="00FF633C" w:rsidRPr="00FF633C">
        <w:rPr>
          <w:sz w:val="28"/>
          <w:szCs w:val="28"/>
          <w:lang w:val="uk-UA"/>
        </w:rPr>
        <w:t>)</w:t>
      </w:r>
    </w:p>
    <w:p w:rsidR="00E63EBF" w:rsidRPr="00FF633C" w:rsidRDefault="00E63EBF" w:rsidP="00FF633C">
      <w:pPr>
        <w:shd w:val="clear" w:color="auto" w:fill="FFFFFF"/>
        <w:tabs>
          <w:tab w:val="left" w:pos="5380"/>
        </w:tabs>
        <w:jc w:val="both"/>
        <w:rPr>
          <w:sz w:val="28"/>
          <w:szCs w:val="28"/>
          <w:lang w:val="uk-UA"/>
        </w:rPr>
      </w:pPr>
    </w:p>
    <w:p w:rsidR="00FF633C" w:rsidRPr="00FF633C" w:rsidRDefault="00FF633C" w:rsidP="00FF633C">
      <w:pPr>
        <w:shd w:val="clear" w:color="auto" w:fill="FFFFFF"/>
        <w:tabs>
          <w:tab w:val="left" w:pos="5380"/>
        </w:tabs>
        <w:jc w:val="both"/>
        <w:rPr>
          <w:b/>
          <w:bCs/>
          <w:lang w:val="uk-UA"/>
        </w:rPr>
      </w:pPr>
    </w:p>
    <w:p w:rsidR="00E63EBF" w:rsidRDefault="00FF633C" w:rsidP="00FF633C">
      <w:pPr>
        <w:jc w:val="center"/>
        <w:rPr>
          <w:b/>
          <w:bCs/>
          <w:lang w:val="uk-UA"/>
        </w:rPr>
      </w:pPr>
      <w:r w:rsidRPr="00FF633C">
        <w:rPr>
          <w:b/>
          <w:bCs/>
          <w:lang w:val="uk-UA"/>
        </w:rPr>
        <w:t xml:space="preserve">Структура надходжень Податку на доходи фізичних осіб в розрізі галузей </w:t>
      </w:r>
    </w:p>
    <w:p w:rsidR="00E63EBF" w:rsidRDefault="00FF633C" w:rsidP="00FF633C">
      <w:pPr>
        <w:jc w:val="center"/>
        <w:rPr>
          <w:b/>
          <w:bCs/>
          <w:lang w:val="uk-UA"/>
        </w:rPr>
      </w:pPr>
      <w:r w:rsidRPr="00FF633C">
        <w:rPr>
          <w:b/>
          <w:bCs/>
          <w:lang w:val="uk-UA"/>
        </w:rPr>
        <w:t>за січень - грудень 2023 року</w:t>
      </w:r>
      <w:r w:rsidR="00E63EBF">
        <w:rPr>
          <w:b/>
          <w:bCs/>
          <w:lang w:val="uk-UA"/>
        </w:rPr>
        <w:t xml:space="preserve"> </w:t>
      </w:r>
    </w:p>
    <w:p w:rsidR="00FF633C" w:rsidRDefault="00FF633C" w:rsidP="00FF633C">
      <w:pPr>
        <w:jc w:val="center"/>
        <w:rPr>
          <w:b/>
          <w:bCs/>
          <w:lang w:val="uk-UA"/>
        </w:rPr>
      </w:pPr>
      <w:r w:rsidRPr="00FF633C">
        <w:rPr>
          <w:b/>
          <w:bCs/>
          <w:lang w:val="uk-UA"/>
        </w:rPr>
        <w:t xml:space="preserve">Всього 153 535,0 </w:t>
      </w:r>
      <w:proofErr w:type="spellStart"/>
      <w:r w:rsidRPr="00FF633C">
        <w:rPr>
          <w:b/>
          <w:bCs/>
          <w:lang w:val="uk-UA"/>
        </w:rPr>
        <w:t>тис.грн</w:t>
      </w:r>
      <w:proofErr w:type="spellEnd"/>
      <w:r w:rsidRPr="00FF633C">
        <w:rPr>
          <w:b/>
          <w:bCs/>
          <w:lang w:val="uk-UA"/>
        </w:rPr>
        <w:t>.</w:t>
      </w:r>
    </w:p>
    <w:p w:rsidR="00FF633C" w:rsidRPr="00FF633C" w:rsidRDefault="00FF633C" w:rsidP="00FF633C">
      <w:pPr>
        <w:jc w:val="center"/>
        <w:rPr>
          <w:b/>
          <w:bCs/>
          <w:highlight w:val="yellow"/>
          <w:lang w:val="uk-UA"/>
        </w:rPr>
      </w:pPr>
      <w:r>
        <w:rPr>
          <w:noProof/>
          <w:sz w:val="20"/>
          <w:szCs w:val="20"/>
          <w:lang w:val="uk-UA" w:eastAsia="uk-UA"/>
        </w:rPr>
        <w:lastRenderedPageBreak/>
        <w:drawing>
          <wp:inline distT="0" distB="0" distL="0" distR="0">
            <wp:extent cx="6073140" cy="423672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633C" w:rsidRPr="00FF633C" w:rsidRDefault="00FF633C" w:rsidP="00FF633C">
      <w:pPr>
        <w:jc w:val="center"/>
        <w:rPr>
          <w:sz w:val="28"/>
          <w:szCs w:val="28"/>
          <w:lang w:val="uk-UA"/>
        </w:rPr>
      </w:pPr>
    </w:p>
    <w:p w:rsidR="00FF633C" w:rsidRPr="00FF633C" w:rsidRDefault="00FF633C" w:rsidP="00FF633C">
      <w:pPr>
        <w:jc w:val="center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Надходження ПДФО від заробітної плати в розрізі категорій:</w:t>
      </w:r>
    </w:p>
    <w:p w:rsidR="00FF633C" w:rsidRPr="00FF633C" w:rsidRDefault="00FF633C" w:rsidP="00FF633C">
      <w:pPr>
        <w:jc w:val="center"/>
        <w:rPr>
          <w:sz w:val="20"/>
          <w:szCs w:val="20"/>
          <w:lang w:val="uk-UA"/>
        </w:rPr>
      </w:pPr>
    </w:p>
    <w:tbl>
      <w:tblPr>
        <w:tblW w:w="9892" w:type="dxa"/>
        <w:tblInd w:w="93" w:type="dxa"/>
        <w:tblLook w:val="04A0" w:firstRow="1" w:lastRow="0" w:firstColumn="1" w:lastColumn="0" w:noHBand="0" w:noVBand="1"/>
      </w:tblPr>
      <w:tblGrid>
        <w:gridCol w:w="3652"/>
        <w:gridCol w:w="1740"/>
        <w:gridCol w:w="1711"/>
        <w:gridCol w:w="1559"/>
        <w:gridCol w:w="1230"/>
      </w:tblGrid>
      <w:tr w:rsidR="00FF633C" w:rsidRPr="00FF633C" w:rsidTr="0064340C">
        <w:trPr>
          <w:trHeight w:val="300"/>
        </w:trPr>
        <w:tc>
          <w:tcPr>
            <w:tcW w:w="3652" w:type="dxa"/>
            <w:noWrap/>
            <w:vAlign w:val="bottom"/>
            <w:hideMark/>
          </w:tcPr>
          <w:p w:rsidR="00FF633C" w:rsidRPr="00FF633C" w:rsidRDefault="00FF633C" w:rsidP="00FF633C">
            <w:pPr>
              <w:jc w:val="center"/>
              <w:rPr>
                <w:sz w:val="20"/>
                <w:szCs w:val="20"/>
                <w:lang w:val="uk-UA" w:eastAsia="uk-UA"/>
              </w:rPr>
            </w:pPr>
            <w:proofErr w:type="spellStart"/>
            <w:r w:rsidRPr="00FF633C">
              <w:rPr>
                <w:sz w:val="20"/>
                <w:szCs w:val="20"/>
                <w:lang w:val="uk-UA" w:eastAsia="uk-UA"/>
              </w:rPr>
              <w:t>тис.грн</w:t>
            </w:r>
            <w:proofErr w:type="spellEnd"/>
            <w:r w:rsidRPr="00FF633C"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740" w:type="dxa"/>
            <w:noWrap/>
            <w:vAlign w:val="bottom"/>
            <w:hideMark/>
          </w:tcPr>
          <w:p w:rsidR="00FF633C" w:rsidRPr="00FF633C" w:rsidRDefault="00FF633C" w:rsidP="00FF6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633C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64%</w:t>
            </w:r>
          </w:p>
        </w:tc>
        <w:tc>
          <w:tcPr>
            <w:tcW w:w="1711" w:type="dxa"/>
            <w:noWrap/>
            <w:vAlign w:val="bottom"/>
            <w:hideMark/>
          </w:tcPr>
          <w:p w:rsidR="00FF633C" w:rsidRPr="00FF633C" w:rsidRDefault="00FF633C" w:rsidP="00FF6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633C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64%</w:t>
            </w:r>
          </w:p>
        </w:tc>
        <w:tc>
          <w:tcPr>
            <w:tcW w:w="1559" w:type="dxa"/>
            <w:noWrap/>
            <w:vAlign w:val="bottom"/>
            <w:hideMark/>
          </w:tcPr>
          <w:p w:rsidR="00FF633C" w:rsidRPr="00FF633C" w:rsidRDefault="00FF633C" w:rsidP="00FF633C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230" w:type="dxa"/>
            <w:noWrap/>
            <w:vAlign w:val="bottom"/>
            <w:hideMark/>
          </w:tcPr>
          <w:p w:rsidR="00FF633C" w:rsidRPr="00FF633C" w:rsidRDefault="00FF633C" w:rsidP="00FF633C">
            <w:pPr>
              <w:rPr>
                <w:sz w:val="20"/>
                <w:szCs w:val="20"/>
                <w:lang w:val="uk-UA" w:eastAsia="uk-UA"/>
              </w:rPr>
            </w:pPr>
          </w:p>
        </w:tc>
      </w:tr>
      <w:tr w:rsidR="00FF633C" w:rsidRPr="00FF633C" w:rsidTr="0064340C">
        <w:trPr>
          <w:trHeight w:val="5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suppressAutoHyphens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color w:val="000000"/>
                <w:sz w:val="20"/>
                <w:szCs w:val="20"/>
              </w:rPr>
              <w:t>по категорії_коди-11010100+11010200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 w:val="20"/>
                <w:szCs w:val="20"/>
              </w:rPr>
            </w:pPr>
            <w:r w:rsidRPr="00FF633C">
              <w:rPr>
                <w:b/>
                <w:sz w:val="20"/>
                <w:szCs w:val="20"/>
              </w:rPr>
              <w:t>ФАКТ</w:t>
            </w:r>
            <w:proofErr w:type="gramStart"/>
            <w:r w:rsidRPr="00FF633C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FF633C">
              <w:rPr>
                <w:b/>
                <w:sz w:val="20"/>
                <w:szCs w:val="20"/>
              </w:rPr>
              <w:t xml:space="preserve">а </w:t>
            </w:r>
            <w:r w:rsidRPr="00FF633C">
              <w:rPr>
                <w:b/>
                <w:sz w:val="20"/>
                <w:szCs w:val="20"/>
                <w:lang w:val="uk-UA"/>
              </w:rPr>
              <w:t>12</w:t>
            </w:r>
            <w:r w:rsidRPr="00FF63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633C">
              <w:rPr>
                <w:b/>
                <w:sz w:val="20"/>
                <w:szCs w:val="20"/>
              </w:rPr>
              <w:t>місяці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 2023 року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 w:val="20"/>
                <w:szCs w:val="20"/>
              </w:rPr>
            </w:pPr>
            <w:r w:rsidRPr="00FF633C">
              <w:rPr>
                <w:b/>
                <w:sz w:val="20"/>
                <w:szCs w:val="20"/>
              </w:rPr>
              <w:t>ФАКТ</w:t>
            </w:r>
            <w:proofErr w:type="gramStart"/>
            <w:r w:rsidRPr="00FF633C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FF633C">
              <w:rPr>
                <w:b/>
                <w:sz w:val="20"/>
                <w:szCs w:val="20"/>
              </w:rPr>
              <w:t xml:space="preserve">а </w:t>
            </w:r>
            <w:r w:rsidRPr="00FF633C">
              <w:rPr>
                <w:b/>
                <w:sz w:val="20"/>
                <w:szCs w:val="20"/>
                <w:lang w:val="uk-UA"/>
              </w:rPr>
              <w:t>12</w:t>
            </w:r>
            <w:r w:rsidRPr="00FF63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633C">
              <w:rPr>
                <w:b/>
                <w:sz w:val="20"/>
                <w:szCs w:val="20"/>
              </w:rPr>
              <w:t>місяці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2022 року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 w:val="20"/>
                <w:szCs w:val="20"/>
              </w:rPr>
            </w:pPr>
            <w:r w:rsidRPr="00FF633C">
              <w:rPr>
                <w:b/>
                <w:sz w:val="20"/>
                <w:szCs w:val="20"/>
              </w:rPr>
              <w:t xml:space="preserve">(+/-) </w:t>
            </w:r>
            <w:proofErr w:type="spellStart"/>
            <w:r w:rsidRPr="00FF633C">
              <w:rPr>
                <w:b/>
                <w:sz w:val="20"/>
                <w:szCs w:val="20"/>
              </w:rPr>
              <w:t>відхилення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FF633C">
              <w:rPr>
                <w:b/>
                <w:sz w:val="20"/>
                <w:szCs w:val="20"/>
              </w:rPr>
              <w:t>минулого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року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 w:val="20"/>
                <w:szCs w:val="20"/>
              </w:rPr>
            </w:pPr>
            <w:r w:rsidRPr="00FF633C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FF633C">
              <w:rPr>
                <w:b/>
                <w:sz w:val="20"/>
                <w:szCs w:val="20"/>
              </w:rPr>
              <w:t>виконання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</w:t>
            </w:r>
            <w:r w:rsidRPr="00FF633C">
              <w:rPr>
                <w:b/>
                <w:sz w:val="20"/>
                <w:szCs w:val="20"/>
                <w:lang w:val="uk-UA"/>
              </w:rPr>
              <w:t xml:space="preserve">до </w:t>
            </w:r>
            <w:proofErr w:type="spellStart"/>
            <w:r w:rsidRPr="00FF633C">
              <w:rPr>
                <w:b/>
                <w:sz w:val="20"/>
                <w:szCs w:val="20"/>
              </w:rPr>
              <w:t>минулого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року</w:t>
            </w:r>
          </w:p>
        </w:tc>
      </w:tr>
      <w:tr w:rsidR="00FF633C" w:rsidRPr="00FF633C" w:rsidTr="0064340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FF633C" w:rsidRPr="00FF633C" w:rsidRDefault="00FF633C" w:rsidP="00FF633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F633C">
              <w:rPr>
                <w:color w:val="000000"/>
                <w:sz w:val="20"/>
                <w:szCs w:val="20"/>
                <w:lang w:val="uk-UA" w:eastAsia="uk-UA"/>
              </w:rPr>
              <w:t>місцевий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16 111,3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16 523,4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-412,1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97,5</w:t>
            </w:r>
          </w:p>
        </w:tc>
      </w:tr>
      <w:tr w:rsidR="00FF633C" w:rsidRPr="00FF633C" w:rsidTr="0064340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FF633C" w:rsidRPr="00FF633C" w:rsidRDefault="00FF633C" w:rsidP="00FF633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F633C">
              <w:rPr>
                <w:color w:val="000000"/>
                <w:sz w:val="20"/>
                <w:szCs w:val="20"/>
                <w:lang w:val="uk-UA" w:eastAsia="uk-UA"/>
              </w:rPr>
              <w:t>державний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111 048,3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69 907,9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41 140,4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158,8</w:t>
            </w:r>
          </w:p>
        </w:tc>
      </w:tr>
      <w:tr w:rsidR="00FF633C" w:rsidRPr="00FF633C" w:rsidTr="0064340C">
        <w:trPr>
          <w:trHeight w:val="46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FF633C" w:rsidRPr="00FF633C" w:rsidRDefault="00FF633C" w:rsidP="00FF633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F633C">
              <w:rPr>
                <w:color w:val="000000"/>
                <w:sz w:val="20"/>
                <w:szCs w:val="20"/>
                <w:lang w:val="uk-UA" w:eastAsia="uk-UA"/>
              </w:rPr>
              <w:t>підприємства (небюджетні установи та організації)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8 011,5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7 522,5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489,0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106,5</w:t>
            </w:r>
          </w:p>
        </w:tc>
      </w:tr>
      <w:tr w:rsidR="00FF633C" w:rsidRPr="00FF633C" w:rsidTr="0064340C">
        <w:trPr>
          <w:trHeight w:val="28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FF633C" w:rsidRPr="00FF633C" w:rsidRDefault="00FF633C" w:rsidP="00FF633C">
            <w:pPr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F633C">
              <w:rPr>
                <w:color w:val="000000"/>
                <w:sz w:val="20"/>
                <w:szCs w:val="20"/>
                <w:lang w:val="uk-UA" w:eastAsia="uk-UA"/>
              </w:rPr>
              <w:t>сільгосптоваровиробники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5 381,3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7 780,6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-2 399,3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69,2</w:t>
            </w:r>
          </w:p>
        </w:tc>
      </w:tr>
      <w:tr w:rsidR="00FF633C" w:rsidRPr="00FF633C" w:rsidTr="0064340C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FF633C" w:rsidRPr="00FF633C" w:rsidRDefault="00FF633C" w:rsidP="00FF633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F633C">
              <w:rPr>
                <w:color w:val="000000"/>
                <w:sz w:val="20"/>
                <w:szCs w:val="20"/>
                <w:lang w:val="uk-UA" w:eastAsia="uk-UA"/>
              </w:rPr>
              <w:t>приватні підприємства, фізичні особи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4 271,0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3 093,5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1 177,5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138,1</w:t>
            </w:r>
          </w:p>
        </w:tc>
      </w:tr>
      <w:tr w:rsidR="00FF633C" w:rsidRPr="00FF633C" w:rsidTr="0064340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FF633C" w:rsidRPr="00FF633C" w:rsidRDefault="00FF633C" w:rsidP="00FF633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F633C">
              <w:rPr>
                <w:color w:val="000000"/>
                <w:sz w:val="20"/>
                <w:szCs w:val="20"/>
                <w:lang w:val="uk-UA" w:eastAsia="uk-UA"/>
              </w:rPr>
              <w:t>інші (церкви)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48,1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51,5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-3,4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93,4</w:t>
            </w:r>
          </w:p>
        </w:tc>
      </w:tr>
      <w:tr w:rsidR="00FF633C" w:rsidRPr="00FF633C" w:rsidTr="0064340C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FF633C" w:rsidRPr="00FF633C" w:rsidRDefault="00FF633C" w:rsidP="00FF633C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F633C">
              <w:rPr>
                <w:color w:val="000000"/>
                <w:sz w:val="20"/>
                <w:szCs w:val="20"/>
                <w:lang w:val="uk-UA" w:eastAsia="uk-UA"/>
              </w:rPr>
              <w:t>разові (СВК -вибори)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0,0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0,0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  <w:lang w:val="uk-UA"/>
              </w:rPr>
            </w:pPr>
            <w:r w:rsidRPr="00FF633C">
              <w:rPr>
                <w:szCs w:val="20"/>
                <w:lang w:val="uk-UA"/>
              </w:rPr>
              <w:t>0,0</w:t>
            </w:r>
          </w:p>
        </w:tc>
      </w:tr>
      <w:tr w:rsidR="00FF633C" w:rsidRPr="00FF633C" w:rsidTr="0064340C">
        <w:trPr>
          <w:trHeight w:val="5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F633C">
              <w:rPr>
                <w:b/>
                <w:bCs/>
                <w:color w:val="000000"/>
                <w:lang w:val="uk-UA" w:eastAsia="uk-UA"/>
              </w:rPr>
              <w:t>РАЗОМ: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138 054,4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104 879,3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33 175,0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131,6</w:t>
            </w:r>
          </w:p>
        </w:tc>
      </w:tr>
    </w:tbl>
    <w:p w:rsidR="00FF633C" w:rsidRPr="00FF633C" w:rsidRDefault="00FF633C" w:rsidP="00FF633C">
      <w:pPr>
        <w:jc w:val="center"/>
        <w:rPr>
          <w:sz w:val="28"/>
          <w:szCs w:val="28"/>
          <w:lang w:val="uk-UA"/>
        </w:rPr>
      </w:pPr>
    </w:p>
    <w:p w:rsidR="00FF633C" w:rsidRPr="00FF633C" w:rsidRDefault="00FF633C" w:rsidP="00FF633C">
      <w:pPr>
        <w:jc w:val="center"/>
        <w:rPr>
          <w:sz w:val="28"/>
          <w:szCs w:val="28"/>
          <w:lang w:val="uk-UA"/>
        </w:rPr>
      </w:pPr>
    </w:p>
    <w:p w:rsidR="00FF633C" w:rsidRPr="00FF633C" w:rsidRDefault="00FF633C" w:rsidP="00FF633C">
      <w:pPr>
        <w:jc w:val="center"/>
        <w:rPr>
          <w:sz w:val="28"/>
          <w:szCs w:val="28"/>
          <w:lang w:val="en-US"/>
        </w:rPr>
      </w:pPr>
    </w:p>
    <w:p w:rsidR="0064340C" w:rsidRDefault="0064340C" w:rsidP="00FF633C">
      <w:pPr>
        <w:jc w:val="center"/>
        <w:rPr>
          <w:sz w:val="28"/>
          <w:szCs w:val="28"/>
          <w:lang w:val="uk-UA"/>
        </w:rPr>
      </w:pPr>
    </w:p>
    <w:p w:rsidR="00E63EBF" w:rsidRDefault="00E63EBF" w:rsidP="00FF633C">
      <w:pPr>
        <w:jc w:val="center"/>
        <w:rPr>
          <w:sz w:val="28"/>
          <w:szCs w:val="28"/>
          <w:lang w:val="uk-UA"/>
        </w:rPr>
      </w:pPr>
    </w:p>
    <w:p w:rsidR="00E63EBF" w:rsidRDefault="00E63EBF" w:rsidP="00FF633C">
      <w:pPr>
        <w:jc w:val="center"/>
        <w:rPr>
          <w:sz w:val="28"/>
          <w:szCs w:val="28"/>
          <w:lang w:val="uk-UA"/>
        </w:rPr>
      </w:pPr>
    </w:p>
    <w:p w:rsidR="00E63EBF" w:rsidRDefault="00E63EBF" w:rsidP="00FF633C">
      <w:pPr>
        <w:jc w:val="center"/>
        <w:rPr>
          <w:sz w:val="28"/>
          <w:szCs w:val="28"/>
          <w:lang w:val="uk-UA"/>
        </w:rPr>
      </w:pPr>
    </w:p>
    <w:p w:rsidR="00FF633C" w:rsidRPr="00FF633C" w:rsidRDefault="00FF633C" w:rsidP="00FF633C">
      <w:pPr>
        <w:jc w:val="center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lastRenderedPageBreak/>
        <w:t>Надходження ПДФО від заробітної плати в розрізі галузей:</w:t>
      </w:r>
    </w:p>
    <w:tbl>
      <w:tblPr>
        <w:tblW w:w="99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701"/>
        <w:gridCol w:w="1560"/>
        <w:gridCol w:w="1417"/>
        <w:gridCol w:w="1271"/>
      </w:tblGrid>
      <w:tr w:rsidR="00FF633C" w:rsidRPr="00FF633C" w:rsidTr="0064340C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633C" w:rsidRPr="00FF633C" w:rsidRDefault="00FF633C" w:rsidP="00FF633C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  <w:p w:rsidR="00FF633C" w:rsidRPr="00FF633C" w:rsidRDefault="00FF633C" w:rsidP="00FF633C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633C" w:rsidRPr="00FF633C" w:rsidRDefault="00FF633C" w:rsidP="00FF633C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633C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  <w:proofErr w:type="spellStart"/>
            <w:r w:rsidRPr="00FF633C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тис.грн</w:t>
            </w:r>
            <w:proofErr w:type="spellEnd"/>
            <w:r w:rsidRPr="00FF633C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633C" w:rsidRPr="00FF633C" w:rsidRDefault="00FF633C" w:rsidP="00FF6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633C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64%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633C" w:rsidRPr="00FF633C" w:rsidRDefault="00FF633C" w:rsidP="00FF633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633C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64%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633C" w:rsidRPr="00FF633C" w:rsidRDefault="00FF633C" w:rsidP="00FF633C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633C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633C" w:rsidRPr="00FF633C" w:rsidRDefault="00FF633C" w:rsidP="00FF633C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FF633C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FF633C" w:rsidRPr="00FF633C" w:rsidTr="0064340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F633C" w:rsidRPr="00FF633C" w:rsidRDefault="00FF633C" w:rsidP="00FF633C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F633C">
              <w:rPr>
                <w:b/>
                <w:bCs/>
                <w:color w:val="000000"/>
                <w:sz w:val="20"/>
                <w:szCs w:val="20"/>
              </w:rPr>
              <w:t>галузь</w:t>
            </w:r>
            <w:proofErr w:type="spellEnd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color w:val="000000"/>
                <w:sz w:val="20"/>
                <w:szCs w:val="20"/>
                <w:lang w:val="uk-UA" w:eastAsia="uk-UA"/>
              </w:rPr>
            </w:pPr>
            <w:r w:rsidRPr="00FF633C">
              <w:rPr>
                <w:b/>
                <w:color w:val="000000"/>
                <w:sz w:val="20"/>
                <w:szCs w:val="20"/>
                <w:lang w:val="uk-UA" w:eastAsia="uk-UA"/>
              </w:rPr>
              <w:t>по галузі_коди-11010100+11010200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 w:val="20"/>
                <w:szCs w:val="20"/>
              </w:rPr>
            </w:pPr>
            <w:r w:rsidRPr="00FF633C">
              <w:rPr>
                <w:b/>
                <w:sz w:val="20"/>
                <w:szCs w:val="20"/>
              </w:rPr>
              <w:t>ФАКТ</w:t>
            </w:r>
            <w:proofErr w:type="gramStart"/>
            <w:r w:rsidRPr="00FF633C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FF633C">
              <w:rPr>
                <w:b/>
                <w:sz w:val="20"/>
                <w:szCs w:val="20"/>
              </w:rPr>
              <w:t xml:space="preserve">а </w:t>
            </w:r>
            <w:r w:rsidRPr="00FF633C">
              <w:rPr>
                <w:b/>
                <w:sz w:val="20"/>
                <w:szCs w:val="20"/>
                <w:lang w:val="uk-UA"/>
              </w:rPr>
              <w:t>12</w:t>
            </w:r>
            <w:r w:rsidRPr="00FF63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633C">
              <w:rPr>
                <w:b/>
                <w:sz w:val="20"/>
                <w:szCs w:val="20"/>
              </w:rPr>
              <w:t>місяці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 2023 року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 w:val="20"/>
                <w:szCs w:val="20"/>
              </w:rPr>
            </w:pPr>
            <w:r w:rsidRPr="00FF633C">
              <w:rPr>
                <w:b/>
                <w:sz w:val="20"/>
                <w:szCs w:val="20"/>
              </w:rPr>
              <w:t>ФАКТ</w:t>
            </w:r>
            <w:proofErr w:type="gramStart"/>
            <w:r w:rsidRPr="00FF633C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FF633C">
              <w:rPr>
                <w:b/>
                <w:sz w:val="20"/>
                <w:szCs w:val="20"/>
              </w:rPr>
              <w:t xml:space="preserve">а </w:t>
            </w:r>
            <w:r w:rsidRPr="00FF633C">
              <w:rPr>
                <w:b/>
                <w:sz w:val="20"/>
                <w:szCs w:val="20"/>
                <w:lang w:val="uk-UA"/>
              </w:rPr>
              <w:t>12</w:t>
            </w:r>
            <w:r w:rsidRPr="00FF633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F633C">
              <w:rPr>
                <w:b/>
                <w:sz w:val="20"/>
                <w:szCs w:val="20"/>
              </w:rPr>
              <w:t>місяці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2022 року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 w:val="20"/>
                <w:szCs w:val="20"/>
              </w:rPr>
            </w:pPr>
            <w:r w:rsidRPr="00FF633C">
              <w:rPr>
                <w:b/>
                <w:sz w:val="20"/>
                <w:szCs w:val="20"/>
              </w:rPr>
              <w:t xml:space="preserve">(+/-) </w:t>
            </w:r>
            <w:proofErr w:type="spellStart"/>
            <w:r w:rsidRPr="00FF633C">
              <w:rPr>
                <w:b/>
                <w:sz w:val="20"/>
                <w:szCs w:val="20"/>
              </w:rPr>
              <w:t>відхилення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FF633C">
              <w:rPr>
                <w:b/>
                <w:sz w:val="20"/>
                <w:szCs w:val="20"/>
              </w:rPr>
              <w:t>минулого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року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 w:val="20"/>
                <w:szCs w:val="20"/>
              </w:rPr>
            </w:pPr>
            <w:r w:rsidRPr="00FF633C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FF633C">
              <w:rPr>
                <w:b/>
                <w:sz w:val="20"/>
                <w:szCs w:val="20"/>
              </w:rPr>
              <w:t>виконання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FF633C">
              <w:rPr>
                <w:b/>
                <w:sz w:val="20"/>
                <w:szCs w:val="20"/>
              </w:rPr>
              <w:t>минулого</w:t>
            </w:r>
            <w:proofErr w:type="spellEnd"/>
            <w:r w:rsidRPr="00FF633C">
              <w:rPr>
                <w:b/>
                <w:sz w:val="20"/>
                <w:szCs w:val="20"/>
              </w:rPr>
              <w:t xml:space="preserve"> року</w:t>
            </w:r>
          </w:p>
        </w:tc>
      </w:tr>
      <w:tr w:rsidR="00FF633C" w:rsidRPr="00FF633C" w:rsidTr="0064340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color w:val="000000"/>
                <w:lang w:val="uk-UA" w:eastAsia="uk-UA"/>
              </w:rPr>
            </w:pPr>
            <w:r w:rsidRPr="00FF633C">
              <w:rPr>
                <w:color w:val="000000"/>
                <w:lang w:val="uk-UA" w:eastAsia="uk-UA"/>
              </w:rPr>
              <w:t>освіта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12 712,8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13 097,4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-384,6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97,1</w:t>
            </w:r>
          </w:p>
        </w:tc>
      </w:tr>
      <w:tr w:rsidR="00FF633C" w:rsidRPr="00FF633C" w:rsidTr="0064340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color w:val="000000"/>
                <w:lang w:val="uk-UA" w:eastAsia="uk-UA"/>
              </w:rPr>
            </w:pPr>
            <w:r w:rsidRPr="00FF633C">
              <w:rPr>
                <w:color w:val="000000"/>
                <w:lang w:val="uk-UA" w:eastAsia="uk-UA"/>
              </w:rPr>
              <w:t xml:space="preserve">охорона </w:t>
            </w:r>
            <w:proofErr w:type="spellStart"/>
            <w:r w:rsidRPr="00FF633C">
              <w:rPr>
                <w:color w:val="000000"/>
                <w:lang w:val="uk-UA" w:eastAsia="uk-UA"/>
              </w:rPr>
              <w:t>здоров"я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3 831,4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4 056,3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-224,9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94,5</w:t>
            </w:r>
          </w:p>
        </w:tc>
      </w:tr>
      <w:tr w:rsidR="00FF633C" w:rsidRPr="00FF633C" w:rsidTr="0064340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color w:val="000000"/>
                <w:lang w:val="uk-UA" w:eastAsia="uk-UA"/>
              </w:rPr>
            </w:pPr>
            <w:r w:rsidRPr="00FF633C">
              <w:rPr>
                <w:color w:val="000000"/>
                <w:lang w:val="uk-UA" w:eastAsia="uk-UA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595,9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643,4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-47,5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92,6</w:t>
            </w:r>
          </w:p>
        </w:tc>
      </w:tr>
      <w:tr w:rsidR="00FF633C" w:rsidRPr="00FF633C" w:rsidTr="0064340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color w:val="000000"/>
                <w:lang w:val="uk-UA" w:eastAsia="uk-UA"/>
              </w:rPr>
            </w:pPr>
            <w:proofErr w:type="spellStart"/>
            <w:r w:rsidRPr="00FF633C">
              <w:rPr>
                <w:color w:val="000000"/>
                <w:lang w:val="uk-UA" w:eastAsia="uk-UA"/>
              </w:rPr>
              <w:t>соцзахист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2 452,3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2 419,8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101,3</w:t>
            </w:r>
          </w:p>
        </w:tc>
      </w:tr>
      <w:tr w:rsidR="00FF633C" w:rsidRPr="00FF633C" w:rsidTr="0064340C">
        <w:trPr>
          <w:trHeight w:val="4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color w:val="000000"/>
                <w:lang w:val="uk-UA" w:eastAsia="uk-UA"/>
              </w:rPr>
            </w:pPr>
            <w:r w:rsidRPr="00FF633C">
              <w:rPr>
                <w:color w:val="000000"/>
                <w:lang w:val="uk-UA" w:eastAsia="uk-UA"/>
              </w:rPr>
              <w:t>державне управління, місцеве самоврядування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3 249,3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3 183,7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65,6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102,1</w:t>
            </w:r>
          </w:p>
        </w:tc>
      </w:tr>
      <w:tr w:rsidR="00FF633C" w:rsidRPr="00FF633C" w:rsidTr="0064340C">
        <w:trPr>
          <w:trHeight w:val="4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color w:val="000000"/>
                <w:lang w:val="uk-UA" w:eastAsia="uk-UA"/>
              </w:rPr>
            </w:pPr>
            <w:r w:rsidRPr="00FF633C">
              <w:rPr>
                <w:color w:val="000000"/>
                <w:lang w:val="uk-UA" w:eastAsia="uk-UA"/>
              </w:rPr>
              <w:t>військові, правоохоронні органи, прокуратура, суд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97 466,6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62 740,3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34 726,3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155,3</w:t>
            </w:r>
          </w:p>
        </w:tc>
      </w:tr>
      <w:tr w:rsidR="00FF633C" w:rsidRPr="00FF633C" w:rsidTr="0064340C">
        <w:trPr>
          <w:trHeight w:val="4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b/>
                <w:bCs/>
                <w:color w:val="000000"/>
                <w:lang w:val="uk-UA" w:eastAsia="uk-UA"/>
              </w:rPr>
            </w:pPr>
            <w:r w:rsidRPr="00FF633C">
              <w:rPr>
                <w:b/>
                <w:bCs/>
                <w:color w:val="000000"/>
                <w:lang w:val="uk-UA" w:eastAsia="uk-UA"/>
              </w:rPr>
              <w:t>Бюджетна сфера: (O,P,Q,R)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120 308,4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86 140,9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34 167,5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139,7</w:t>
            </w:r>
          </w:p>
        </w:tc>
      </w:tr>
      <w:tr w:rsidR="00FF633C" w:rsidRPr="00FF633C" w:rsidTr="0064340C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b/>
                <w:bCs/>
                <w:color w:val="000000"/>
                <w:lang w:val="uk-UA" w:eastAsia="uk-UA"/>
              </w:rPr>
            </w:pPr>
            <w:r w:rsidRPr="00FF633C">
              <w:rPr>
                <w:b/>
                <w:bCs/>
                <w:color w:val="000000"/>
                <w:lang w:val="uk-UA" w:eastAsia="uk-UA"/>
              </w:rPr>
              <w:t>Сільське господарство 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5 701,5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8 127,0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-2 425,4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70,2</w:t>
            </w:r>
          </w:p>
        </w:tc>
      </w:tr>
      <w:tr w:rsidR="00FF633C" w:rsidRPr="00FF633C" w:rsidTr="0064340C">
        <w:trPr>
          <w:trHeight w:val="3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b/>
                <w:bCs/>
                <w:color w:val="000000"/>
                <w:lang w:val="uk-UA" w:eastAsia="uk-UA"/>
              </w:rPr>
            </w:pPr>
            <w:r w:rsidRPr="00FF633C">
              <w:rPr>
                <w:b/>
                <w:bCs/>
                <w:color w:val="000000"/>
                <w:lang w:val="uk-UA" w:eastAsia="uk-UA"/>
              </w:rPr>
              <w:t>Промисловість (B,C,D,E)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3 145,8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3 212,7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-66,9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97,9</w:t>
            </w:r>
          </w:p>
        </w:tc>
      </w:tr>
      <w:tr w:rsidR="00FF633C" w:rsidRPr="00FF633C" w:rsidTr="0064340C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b/>
                <w:bCs/>
                <w:color w:val="000000"/>
                <w:lang w:val="uk-UA" w:eastAsia="uk-UA"/>
              </w:rPr>
            </w:pPr>
            <w:r w:rsidRPr="00FF633C">
              <w:rPr>
                <w:b/>
                <w:bCs/>
                <w:color w:val="000000"/>
                <w:lang w:val="uk-UA" w:eastAsia="uk-UA"/>
              </w:rPr>
              <w:t xml:space="preserve">Транспорт, </w:t>
            </w:r>
            <w:proofErr w:type="spellStart"/>
            <w:r w:rsidRPr="00FF633C">
              <w:rPr>
                <w:b/>
                <w:bCs/>
                <w:color w:val="000000"/>
                <w:lang w:val="uk-UA" w:eastAsia="uk-UA"/>
              </w:rPr>
              <w:t>зв"язок</w:t>
            </w:r>
            <w:proofErr w:type="spellEnd"/>
            <w:r w:rsidRPr="00FF633C">
              <w:rPr>
                <w:b/>
                <w:bCs/>
                <w:color w:val="000000"/>
                <w:lang w:val="uk-UA" w:eastAsia="uk-UA"/>
              </w:rPr>
              <w:t xml:space="preserve"> (H)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3 840,4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3 460,0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380,4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111,0</w:t>
            </w:r>
          </w:p>
        </w:tc>
      </w:tr>
      <w:tr w:rsidR="00FF633C" w:rsidRPr="00FF633C" w:rsidTr="0064340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b/>
                <w:bCs/>
                <w:color w:val="000000"/>
                <w:lang w:val="uk-UA" w:eastAsia="uk-UA"/>
              </w:rPr>
            </w:pPr>
            <w:r w:rsidRPr="00FF633C">
              <w:rPr>
                <w:b/>
                <w:bCs/>
                <w:color w:val="000000"/>
                <w:lang w:val="uk-UA" w:eastAsia="uk-UA"/>
              </w:rPr>
              <w:t>Торгівля (G,I)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2 983,0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2 049,6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933,4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145,5</w:t>
            </w:r>
          </w:p>
        </w:tc>
      </w:tr>
      <w:tr w:rsidR="00FF633C" w:rsidRPr="00FF633C" w:rsidTr="0064340C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b/>
                <w:bCs/>
                <w:color w:val="000000"/>
                <w:lang w:val="uk-UA" w:eastAsia="uk-UA"/>
              </w:rPr>
            </w:pPr>
            <w:r w:rsidRPr="00FF633C">
              <w:rPr>
                <w:b/>
                <w:bCs/>
                <w:color w:val="000000"/>
                <w:lang w:val="uk-UA" w:eastAsia="uk-UA"/>
              </w:rPr>
              <w:t xml:space="preserve">Фінансові установи  </w:t>
            </w:r>
            <w:r w:rsidRPr="00FF633C">
              <w:rPr>
                <w:color w:val="000000"/>
                <w:lang w:val="uk-UA" w:eastAsia="uk-UA"/>
              </w:rPr>
              <w:t>(банки, страхові установи) (K)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409,8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395,9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103,5</w:t>
            </w:r>
          </w:p>
        </w:tc>
      </w:tr>
      <w:tr w:rsidR="00FF633C" w:rsidRPr="00FF633C" w:rsidTr="0064340C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FF633C">
              <w:rPr>
                <w:b/>
                <w:bCs/>
                <w:color w:val="000000"/>
                <w:lang w:val="uk-UA" w:eastAsia="uk-UA"/>
              </w:rPr>
              <w:t>Суб"єкти</w:t>
            </w:r>
            <w:proofErr w:type="spellEnd"/>
            <w:r w:rsidRPr="00FF633C">
              <w:rPr>
                <w:b/>
                <w:bCs/>
                <w:color w:val="000000"/>
                <w:lang w:val="uk-UA" w:eastAsia="uk-UA"/>
              </w:rPr>
              <w:t xml:space="preserve"> підприємництва (J,M,N,S,T)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969,4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1 237,8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-268,4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78,3</w:t>
            </w:r>
          </w:p>
        </w:tc>
      </w:tr>
      <w:tr w:rsidR="00FF633C" w:rsidRPr="00FF633C" w:rsidTr="0064340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b/>
                <w:bCs/>
                <w:color w:val="000000"/>
                <w:lang w:val="uk-UA" w:eastAsia="uk-UA"/>
              </w:rPr>
            </w:pPr>
            <w:proofErr w:type="spellStart"/>
            <w:r w:rsidRPr="00FF633C">
              <w:rPr>
                <w:b/>
                <w:bCs/>
                <w:color w:val="000000"/>
                <w:lang w:val="uk-UA" w:eastAsia="uk-UA"/>
              </w:rPr>
              <w:t>Будвництво</w:t>
            </w:r>
            <w:proofErr w:type="spellEnd"/>
            <w:r w:rsidRPr="00FF633C">
              <w:rPr>
                <w:b/>
                <w:bCs/>
                <w:color w:val="000000"/>
                <w:lang w:val="uk-UA" w:eastAsia="uk-UA"/>
              </w:rPr>
              <w:t xml:space="preserve"> (F)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122,6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21,4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117,5</w:t>
            </w:r>
          </w:p>
        </w:tc>
      </w:tr>
      <w:tr w:rsidR="00FF633C" w:rsidRPr="00FF633C" w:rsidTr="0064340C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633C" w:rsidRPr="00FF633C" w:rsidRDefault="00FF633C" w:rsidP="00FF633C">
            <w:pPr>
              <w:suppressAutoHyphens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F633C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33C" w:rsidRPr="00FF633C" w:rsidRDefault="00FF633C" w:rsidP="00FF633C">
            <w:pPr>
              <w:rPr>
                <w:b/>
                <w:bCs/>
                <w:color w:val="000000"/>
                <w:lang w:val="uk-UA" w:eastAsia="uk-UA"/>
              </w:rPr>
            </w:pPr>
            <w:r w:rsidRPr="00FF633C">
              <w:rPr>
                <w:b/>
                <w:bCs/>
                <w:color w:val="000000"/>
                <w:lang w:val="uk-UA" w:eastAsia="uk-UA"/>
              </w:rPr>
              <w:t>Інші ( L,U)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552,0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132,9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419,1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szCs w:val="20"/>
              </w:rPr>
            </w:pPr>
            <w:r w:rsidRPr="00FF633C">
              <w:rPr>
                <w:szCs w:val="20"/>
              </w:rPr>
              <w:t>415,4</w:t>
            </w:r>
          </w:p>
        </w:tc>
      </w:tr>
      <w:tr w:rsidR="00FF633C" w:rsidRPr="00FF633C" w:rsidTr="0064340C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3C" w:rsidRPr="00FF633C" w:rsidRDefault="00FF633C" w:rsidP="00FF633C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33C" w:rsidRPr="00FF633C" w:rsidRDefault="00FF633C" w:rsidP="00FF633C">
            <w:pPr>
              <w:rPr>
                <w:b/>
                <w:bCs/>
                <w:color w:val="000000"/>
                <w:lang w:val="uk-UA" w:eastAsia="uk-UA"/>
              </w:rPr>
            </w:pPr>
            <w:r w:rsidRPr="00FF633C">
              <w:rPr>
                <w:b/>
                <w:bCs/>
                <w:color w:val="000000"/>
                <w:lang w:val="uk-UA" w:eastAsia="uk-UA"/>
              </w:rPr>
              <w:t>Всього доходів  ПДФО місцевого бюджету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138 054,4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104 879,3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33 175,0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33C" w:rsidRPr="00FF633C" w:rsidRDefault="00FF633C" w:rsidP="00FF633C">
            <w:pPr>
              <w:jc w:val="center"/>
              <w:rPr>
                <w:b/>
                <w:szCs w:val="20"/>
              </w:rPr>
            </w:pPr>
            <w:r w:rsidRPr="00FF633C">
              <w:rPr>
                <w:b/>
                <w:szCs w:val="20"/>
              </w:rPr>
              <w:t>131,6</w:t>
            </w:r>
          </w:p>
        </w:tc>
      </w:tr>
    </w:tbl>
    <w:p w:rsidR="007260AF" w:rsidRDefault="00FF633C" w:rsidP="00FF633C">
      <w:pPr>
        <w:shd w:val="clear" w:color="auto" w:fill="FFFFFF"/>
        <w:tabs>
          <w:tab w:val="left" w:pos="5380"/>
        </w:tabs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     </w:t>
      </w:r>
    </w:p>
    <w:p w:rsidR="00FF633C" w:rsidRPr="00FF633C" w:rsidRDefault="00FF633C" w:rsidP="007260AF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 -  Податок на прибуток підприємств комунальної власності – 100,0 %, (сплачено за результатами фінансової діяльності за 2022 -2023 роки) при плані 16,6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факт 16,6 тис. грн., темп росту – 235,3%, або на 9,6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більше. </w:t>
      </w:r>
      <w:r w:rsidRPr="00FF633C">
        <w:rPr>
          <w:i/>
          <w:sz w:val="28"/>
          <w:szCs w:val="28"/>
          <w:lang w:val="uk-UA"/>
        </w:rPr>
        <w:t>(Довідково:</w:t>
      </w:r>
      <w:r w:rsidRPr="00FF633C">
        <w:rPr>
          <w:i/>
          <w:szCs w:val="20"/>
          <w:lang w:val="uk-UA"/>
        </w:rPr>
        <w:t xml:space="preserve"> </w:t>
      </w:r>
      <w:r w:rsidRPr="00FF633C">
        <w:rPr>
          <w:i/>
          <w:sz w:val="28"/>
          <w:szCs w:val="28"/>
          <w:lang w:val="uk-UA"/>
        </w:rPr>
        <w:t xml:space="preserve">збільшення </w:t>
      </w:r>
      <w:r w:rsidR="00EE5C6E">
        <w:rPr>
          <w:i/>
          <w:sz w:val="28"/>
          <w:szCs w:val="28"/>
          <w:lang w:val="uk-UA"/>
        </w:rPr>
        <w:t xml:space="preserve"> від КП Місто С</w:t>
      </w:r>
      <w:r w:rsidRPr="00FF633C">
        <w:rPr>
          <w:i/>
          <w:sz w:val="28"/>
          <w:szCs w:val="28"/>
          <w:lang w:val="uk-UA"/>
        </w:rPr>
        <w:t>ервіс</w:t>
      </w:r>
      <w:r w:rsidR="00D84B55">
        <w:rPr>
          <w:i/>
          <w:sz w:val="28"/>
          <w:szCs w:val="28"/>
          <w:lang w:val="uk-UA"/>
        </w:rPr>
        <w:t xml:space="preserve"> Ананьївської міської ради»</w:t>
      </w:r>
      <w:r w:rsidRPr="00FF633C">
        <w:rPr>
          <w:i/>
          <w:sz w:val="28"/>
          <w:szCs w:val="28"/>
          <w:lang w:val="uk-UA"/>
        </w:rPr>
        <w:t>, АНАНЬЇВСЬКЕ МБТІ та КП «Ананьїв</w:t>
      </w:r>
      <w:r w:rsidR="00EE5C6E">
        <w:rPr>
          <w:i/>
          <w:sz w:val="28"/>
          <w:szCs w:val="28"/>
          <w:lang w:val="uk-UA"/>
        </w:rPr>
        <w:t>-водоканал Ананьївської м</w:t>
      </w:r>
      <w:r w:rsidRPr="00FF633C">
        <w:rPr>
          <w:i/>
          <w:sz w:val="28"/>
          <w:szCs w:val="28"/>
          <w:lang w:val="uk-UA"/>
        </w:rPr>
        <w:t>іської ради»);</w:t>
      </w:r>
    </w:p>
    <w:p w:rsidR="00FF633C" w:rsidRPr="00FF633C" w:rsidRDefault="00FF633C" w:rsidP="007260AF">
      <w:pPr>
        <w:shd w:val="clear" w:color="auto" w:fill="FFFFFF"/>
        <w:tabs>
          <w:tab w:val="left" w:pos="709"/>
          <w:tab w:val="left" w:pos="851"/>
          <w:tab w:val="left" w:pos="993"/>
          <w:tab w:val="left" w:pos="1418"/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Рентна плата за використання природних ресурсів виконання – 100,0% при плані 55,5 тис. грн., факт 55,5 тис. грн., або на 0,01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більше.  Темп росту до минулого року склав в 29,1%, або на  135,5 тис. грн., менше </w:t>
      </w:r>
      <w:r w:rsidRPr="00FF633C">
        <w:rPr>
          <w:i/>
          <w:sz w:val="28"/>
          <w:szCs w:val="28"/>
          <w:lang w:val="uk-UA"/>
        </w:rPr>
        <w:t>(Довідково:</w:t>
      </w:r>
      <w:r w:rsidRPr="00FF633C">
        <w:rPr>
          <w:i/>
          <w:szCs w:val="20"/>
          <w:lang w:val="uk-UA"/>
        </w:rPr>
        <w:t xml:space="preserve"> </w:t>
      </w:r>
      <w:r w:rsidRPr="00FF633C">
        <w:rPr>
          <w:i/>
          <w:sz w:val="28"/>
          <w:szCs w:val="28"/>
          <w:lang w:val="uk-UA"/>
        </w:rPr>
        <w:t xml:space="preserve">у минулому році по ДП «Ананьївський лісгосп» була нарахована та сплачена штрафна санкція згідно податкової вимоги на суму 89,6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>., а також надходження у січні-лютом</w:t>
      </w:r>
      <w:r w:rsidR="00152304">
        <w:rPr>
          <w:i/>
          <w:sz w:val="28"/>
          <w:szCs w:val="28"/>
          <w:lang w:val="uk-UA"/>
        </w:rPr>
        <w:t>у</w:t>
      </w:r>
      <w:r w:rsidRPr="00FF633C">
        <w:rPr>
          <w:i/>
          <w:sz w:val="28"/>
          <w:szCs w:val="28"/>
          <w:lang w:val="uk-UA"/>
        </w:rPr>
        <w:t xml:space="preserve"> місяці 2022 року рентної плати за 4 квартал 2021р. на суму 10,5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., зменшення рентної плати у 2023 році на 35,4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>.).</w:t>
      </w:r>
    </w:p>
    <w:p w:rsidR="00FF633C" w:rsidRPr="00FF633C" w:rsidRDefault="00FF633C" w:rsidP="00152304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 Податок на нерухоме майно -  </w:t>
      </w:r>
      <w:r w:rsidRPr="00152304">
        <w:rPr>
          <w:sz w:val="28"/>
          <w:szCs w:val="28"/>
          <w:lang w:val="uk-UA"/>
        </w:rPr>
        <w:t>1</w:t>
      </w:r>
      <w:r w:rsidRPr="00FF633C">
        <w:rPr>
          <w:sz w:val="28"/>
          <w:szCs w:val="28"/>
          <w:lang w:val="uk-UA"/>
        </w:rPr>
        <w:t xml:space="preserve">07,8%  при плані 1 724,1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 факт 1 858,5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або на 134,4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більше, темп росту до минулого </w:t>
      </w:r>
      <w:r w:rsidRPr="00FF633C">
        <w:rPr>
          <w:sz w:val="28"/>
          <w:szCs w:val="28"/>
          <w:lang w:val="uk-UA"/>
        </w:rPr>
        <w:lastRenderedPageBreak/>
        <w:t xml:space="preserve">року  131,7 % або на 446,9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 більше </w:t>
      </w:r>
      <w:r w:rsidRPr="00FF633C">
        <w:rPr>
          <w:i/>
          <w:sz w:val="28"/>
          <w:szCs w:val="28"/>
          <w:lang w:val="uk-UA"/>
        </w:rPr>
        <w:t>(Довідково:</w:t>
      </w:r>
      <w:r w:rsidRPr="00FF633C">
        <w:rPr>
          <w:szCs w:val="20"/>
          <w:lang w:val="uk-UA"/>
        </w:rPr>
        <w:t xml:space="preserve"> </w:t>
      </w:r>
      <w:r w:rsidRPr="00FF633C">
        <w:rPr>
          <w:i/>
          <w:sz w:val="28"/>
          <w:szCs w:val="28"/>
          <w:lang w:val="uk-UA"/>
        </w:rPr>
        <w:t>збільшення від надходжень податку на нерухоме майно, відмінне від земельної ділянки, сплачений фізичними особами, які є власниками об`єктів житлової і нежитлової нерухомості – за рахунок збільшення ставки податку в середньому в 3 рази)</w:t>
      </w:r>
      <w:r w:rsidRPr="00FF633C">
        <w:rPr>
          <w:sz w:val="28"/>
          <w:szCs w:val="28"/>
          <w:lang w:val="uk-UA"/>
        </w:rPr>
        <w:t xml:space="preserve">; </w:t>
      </w:r>
    </w:p>
    <w:p w:rsidR="00FF633C" w:rsidRPr="00FF633C" w:rsidRDefault="00FF633C" w:rsidP="00152304">
      <w:pPr>
        <w:shd w:val="clear" w:color="auto" w:fill="FFFFFF"/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Податок на землю (земельний податок та орендна плата з юридичних та фізичних осіб) – 110,2% при плані 15 907,2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факт 17 532,4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або на  1 625,2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 більше,  темп росту до минулого року складає  </w:t>
      </w:r>
      <w:r w:rsidR="00152304">
        <w:rPr>
          <w:sz w:val="28"/>
          <w:szCs w:val="28"/>
          <w:lang w:val="uk-UA"/>
        </w:rPr>
        <w:t xml:space="preserve">                 </w:t>
      </w:r>
      <w:r w:rsidRPr="00FF633C">
        <w:rPr>
          <w:sz w:val="28"/>
          <w:szCs w:val="28"/>
          <w:lang w:val="uk-UA"/>
        </w:rPr>
        <w:t>128,</w:t>
      </w:r>
      <w:r w:rsidR="00152304">
        <w:rPr>
          <w:sz w:val="28"/>
          <w:szCs w:val="28"/>
          <w:lang w:val="uk-UA"/>
        </w:rPr>
        <w:t xml:space="preserve">9 %,  або   на 3 930,9 </w:t>
      </w:r>
      <w:proofErr w:type="spellStart"/>
      <w:r w:rsidR="00152304">
        <w:rPr>
          <w:sz w:val="28"/>
          <w:szCs w:val="28"/>
          <w:lang w:val="uk-UA"/>
        </w:rPr>
        <w:t>тис.грн</w:t>
      </w:r>
      <w:proofErr w:type="spellEnd"/>
      <w:r w:rsidR="00152304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 більше. </w:t>
      </w:r>
      <w:r w:rsidRPr="00FF633C">
        <w:rPr>
          <w:i/>
          <w:sz w:val="28"/>
          <w:szCs w:val="28"/>
          <w:lang w:val="uk-UA"/>
        </w:rPr>
        <w:t>(Довідково:</w:t>
      </w:r>
      <w:r w:rsidRPr="00FF633C">
        <w:rPr>
          <w:szCs w:val="20"/>
          <w:lang w:val="uk-UA"/>
        </w:rPr>
        <w:t xml:space="preserve"> </w:t>
      </w:r>
      <w:r w:rsidRPr="00FF633C">
        <w:rPr>
          <w:i/>
          <w:sz w:val="28"/>
          <w:szCs w:val="28"/>
          <w:lang w:val="uk-UA"/>
        </w:rPr>
        <w:t>позитивно вплинули на показник темпу росту - збільшення ставки податку в середньому в 3 рази)</w:t>
      </w:r>
      <w:r w:rsidRPr="00FF633C">
        <w:rPr>
          <w:sz w:val="28"/>
          <w:szCs w:val="28"/>
          <w:lang w:val="uk-UA"/>
        </w:rPr>
        <w:t>;</w:t>
      </w:r>
    </w:p>
    <w:p w:rsidR="00FF633C" w:rsidRPr="00FF633C" w:rsidRDefault="00FF633C" w:rsidP="00152304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 w:eastAsia="ar-SA"/>
        </w:rPr>
      </w:pPr>
      <w:r w:rsidRPr="00FF633C">
        <w:rPr>
          <w:sz w:val="28"/>
          <w:szCs w:val="28"/>
          <w:lang w:val="uk-UA"/>
        </w:rPr>
        <w:t xml:space="preserve">-   Єдиний податок – 111,0 % при плані 26 652,9  тис. грн., факт 29 585,3  </w:t>
      </w:r>
      <w:proofErr w:type="spellStart"/>
      <w:r w:rsidR="00315FB8">
        <w:rPr>
          <w:sz w:val="28"/>
          <w:szCs w:val="28"/>
          <w:lang w:val="uk-UA"/>
        </w:rPr>
        <w:t>тис.</w:t>
      </w:r>
      <w:r w:rsidR="00EE5C6E">
        <w:rPr>
          <w:sz w:val="28"/>
          <w:szCs w:val="28"/>
          <w:lang w:val="uk-UA"/>
        </w:rPr>
        <w:t>грн</w:t>
      </w:r>
      <w:proofErr w:type="spellEnd"/>
      <w:r w:rsidR="00EE5C6E">
        <w:rPr>
          <w:sz w:val="28"/>
          <w:szCs w:val="28"/>
          <w:lang w:val="uk-UA"/>
        </w:rPr>
        <w:t xml:space="preserve">., або на 2 932,4  </w:t>
      </w:r>
      <w:proofErr w:type="spellStart"/>
      <w:r w:rsidR="00EE5C6E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., більше, темп росту до минулого року – 162,4%, або на 11 362,1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 більше, 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>. єдиний податок з сільськогосподарських товаровиробників темп росту до минулого р</w:t>
      </w:r>
      <w:r w:rsidR="00315FB8">
        <w:rPr>
          <w:sz w:val="28"/>
          <w:szCs w:val="28"/>
          <w:lang w:val="uk-UA"/>
        </w:rPr>
        <w:t xml:space="preserve">оку  194,1% або на 8 858,7 </w:t>
      </w:r>
      <w:proofErr w:type="spellStart"/>
      <w:r w:rsidR="00315FB8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., більше. (</w:t>
      </w:r>
      <w:r w:rsidRPr="00FF633C">
        <w:rPr>
          <w:i/>
          <w:sz w:val="28"/>
          <w:szCs w:val="28"/>
          <w:lang w:val="uk-UA"/>
        </w:rPr>
        <w:t xml:space="preserve">Довідково: позитивно вплинули на показник темпу росту – надходження від </w:t>
      </w:r>
      <w:proofErr w:type="spellStart"/>
      <w:r w:rsidRPr="00FF633C">
        <w:rPr>
          <w:i/>
          <w:sz w:val="28"/>
          <w:szCs w:val="28"/>
          <w:lang w:val="uk-UA"/>
        </w:rPr>
        <w:t>сільгосптоваровиробників</w:t>
      </w:r>
      <w:proofErr w:type="spellEnd"/>
      <w:r w:rsidRPr="00FF633C">
        <w:rPr>
          <w:i/>
          <w:sz w:val="28"/>
          <w:szCs w:val="28"/>
          <w:lang w:val="uk-UA"/>
        </w:rPr>
        <w:t xml:space="preserve"> МПЗ (мінімального податкового зобов</w:t>
      </w:r>
      <w:r w:rsidRPr="00FF633C">
        <w:rPr>
          <w:rFonts w:ascii="Calibri" w:hAnsi="Calibri" w:cs="Calibri"/>
          <w:i/>
          <w:sz w:val="28"/>
          <w:szCs w:val="28"/>
          <w:lang w:val="uk-UA"/>
        </w:rPr>
        <w:t>'</w:t>
      </w:r>
      <w:r w:rsidRPr="00FF633C">
        <w:rPr>
          <w:i/>
          <w:sz w:val="28"/>
          <w:szCs w:val="28"/>
          <w:lang w:val="uk-UA"/>
        </w:rPr>
        <w:t>язання) за минулий 2022  рік);</w:t>
      </w:r>
    </w:p>
    <w:p w:rsidR="00FF633C" w:rsidRPr="00FF633C" w:rsidRDefault="00FF633C" w:rsidP="00152304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 Державне мито  виконано  на 116,3 % при плані 310,8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., факт 36</w:t>
      </w:r>
      <w:r w:rsidR="00315FB8">
        <w:rPr>
          <w:sz w:val="28"/>
          <w:szCs w:val="28"/>
          <w:lang w:val="uk-UA"/>
        </w:rPr>
        <w:t xml:space="preserve">1,4 </w:t>
      </w:r>
      <w:proofErr w:type="spellStart"/>
      <w:r w:rsidR="00315FB8">
        <w:rPr>
          <w:sz w:val="28"/>
          <w:szCs w:val="28"/>
          <w:lang w:val="uk-UA"/>
        </w:rPr>
        <w:t>тис.грн</w:t>
      </w:r>
      <w:proofErr w:type="spellEnd"/>
      <w:r w:rsidR="00315FB8">
        <w:rPr>
          <w:sz w:val="28"/>
          <w:szCs w:val="28"/>
          <w:lang w:val="uk-UA"/>
        </w:rPr>
        <w:t xml:space="preserve">.,  або на 50,6 </w:t>
      </w:r>
      <w:proofErr w:type="spellStart"/>
      <w:r w:rsidR="00315FB8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 більше, темп росту до минулого року – 184,1 %, або на</w:t>
      </w:r>
      <w:r w:rsidRPr="00FF633C">
        <w:rPr>
          <w:szCs w:val="20"/>
        </w:rPr>
        <w:t xml:space="preserve"> </w:t>
      </w:r>
      <w:r w:rsidR="00315FB8">
        <w:rPr>
          <w:sz w:val="28"/>
          <w:szCs w:val="28"/>
          <w:lang w:val="uk-UA"/>
        </w:rPr>
        <w:t xml:space="preserve">165,1 </w:t>
      </w:r>
      <w:proofErr w:type="spellStart"/>
      <w:r w:rsidR="00315FB8">
        <w:rPr>
          <w:sz w:val="28"/>
          <w:szCs w:val="28"/>
          <w:lang w:val="uk-UA"/>
        </w:rPr>
        <w:t>тис.</w:t>
      </w:r>
      <w:r w:rsidR="00152304">
        <w:rPr>
          <w:sz w:val="28"/>
          <w:szCs w:val="28"/>
          <w:lang w:val="uk-UA"/>
        </w:rPr>
        <w:t>грн</w:t>
      </w:r>
      <w:proofErr w:type="spellEnd"/>
      <w:r w:rsidR="00152304">
        <w:rPr>
          <w:sz w:val="28"/>
          <w:szCs w:val="28"/>
          <w:lang w:val="uk-UA"/>
        </w:rPr>
        <w:t xml:space="preserve">. </w:t>
      </w:r>
      <w:r w:rsidRPr="00FF633C">
        <w:rPr>
          <w:sz w:val="28"/>
          <w:szCs w:val="28"/>
          <w:lang w:val="uk-UA"/>
        </w:rPr>
        <w:t>більше. (За рахунок збільшення кількості відповідних звернень);</w:t>
      </w:r>
    </w:p>
    <w:p w:rsidR="00FF633C" w:rsidRPr="00FF633C" w:rsidRDefault="00FF633C" w:rsidP="00315FB8">
      <w:pPr>
        <w:shd w:val="clear" w:color="auto" w:fill="FFFFFF"/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 - Частина чистого прибутку (доходу) комунальних унітарних підприємств та їх об`єднань, що вилучається до відповідного місцевого бюджету надійшло  100,0 %  при плані 105,4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факт 105,5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або на 0,01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більше. Темп росту до минулого року – в 31,6 </w:t>
      </w:r>
      <w:proofErr w:type="spellStart"/>
      <w:r w:rsidRPr="00FF633C">
        <w:rPr>
          <w:sz w:val="28"/>
          <w:szCs w:val="28"/>
          <w:lang w:val="uk-UA"/>
        </w:rPr>
        <w:t>раза</w:t>
      </w:r>
      <w:proofErr w:type="spellEnd"/>
      <w:r w:rsidRPr="00FF633C">
        <w:rPr>
          <w:sz w:val="28"/>
          <w:szCs w:val="28"/>
          <w:lang w:val="uk-UA"/>
        </w:rPr>
        <w:t xml:space="preserve"> або на 102,1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 більше.</w:t>
      </w:r>
      <w:r w:rsidR="00315FB8">
        <w:rPr>
          <w:sz w:val="28"/>
          <w:szCs w:val="28"/>
          <w:lang w:val="uk-UA"/>
        </w:rPr>
        <w:t xml:space="preserve"> </w:t>
      </w:r>
      <w:r w:rsidRPr="00FF633C">
        <w:rPr>
          <w:i/>
          <w:sz w:val="28"/>
          <w:szCs w:val="28"/>
          <w:lang w:val="uk-UA"/>
        </w:rPr>
        <w:t>(Д</w:t>
      </w:r>
      <w:r w:rsidR="00315FB8">
        <w:rPr>
          <w:i/>
          <w:sz w:val="28"/>
          <w:szCs w:val="28"/>
          <w:lang w:val="uk-UA"/>
        </w:rPr>
        <w:t>овідково: 3 платника: КП «Місто С</w:t>
      </w:r>
      <w:r w:rsidRPr="00FF633C">
        <w:rPr>
          <w:i/>
          <w:sz w:val="28"/>
          <w:szCs w:val="28"/>
          <w:lang w:val="uk-UA"/>
        </w:rPr>
        <w:t>ервіс</w:t>
      </w:r>
      <w:r w:rsidR="00315FB8">
        <w:rPr>
          <w:i/>
          <w:sz w:val="28"/>
          <w:szCs w:val="28"/>
          <w:lang w:val="uk-UA"/>
        </w:rPr>
        <w:t xml:space="preserve"> Ананьївської міської ради</w:t>
      </w:r>
      <w:r w:rsidRPr="00FF633C">
        <w:rPr>
          <w:i/>
          <w:sz w:val="28"/>
          <w:szCs w:val="28"/>
          <w:lang w:val="uk-UA"/>
        </w:rPr>
        <w:t>», КП «Ананьївська друкарня</w:t>
      </w:r>
      <w:r w:rsidR="00AD773B" w:rsidRPr="00AD773B">
        <w:rPr>
          <w:i/>
          <w:sz w:val="28"/>
          <w:szCs w:val="28"/>
          <w:lang w:val="uk-UA"/>
        </w:rPr>
        <w:t xml:space="preserve"> </w:t>
      </w:r>
      <w:r w:rsidR="00AD773B">
        <w:rPr>
          <w:i/>
          <w:sz w:val="28"/>
          <w:szCs w:val="28"/>
          <w:lang w:val="uk-UA"/>
        </w:rPr>
        <w:t>Ананьївської міської ради</w:t>
      </w:r>
      <w:r w:rsidRPr="00FF633C">
        <w:rPr>
          <w:i/>
          <w:sz w:val="28"/>
          <w:szCs w:val="28"/>
          <w:lang w:val="uk-UA"/>
        </w:rPr>
        <w:t xml:space="preserve">», Ананьївське МБТІ. Збільшення надходжень від частини чистого прибутку по </w:t>
      </w:r>
      <w:r w:rsidR="00AD773B">
        <w:rPr>
          <w:i/>
          <w:sz w:val="28"/>
          <w:szCs w:val="28"/>
          <w:lang w:val="uk-UA"/>
        </w:rPr>
        <w:t>КП «Місто С</w:t>
      </w:r>
      <w:r w:rsidR="00AD773B" w:rsidRPr="00FF633C">
        <w:rPr>
          <w:i/>
          <w:sz w:val="28"/>
          <w:szCs w:val="28"/>
          <w:lang w:val="uk-UA"/>
        </w:rPr>
        <w:t>ервіс</w:t>
      </w:r>
      <w:r w:rsidR="00AD773B">
        <w:rPr>
          <w:i/>
          <w:sz w:val="28"/>
          <w:szCs w:val="28"/>
          <w:lang w:val="uk-UA"/>
        </w:rPr>
        <w:t xml:space="preserve"> Ананьївської міської ради</w:t>
      </w:r>
      <w:r w:rsidR="00AD773B" w:rsidRPr="00FF633C">
        <w:rPr>
          <w:i/>
          <w:sz w:val="28"/>
          <w:szCs w:val="28"/>
          <w:lang w:val="uk-UA"/>
        </w:rPr>
        <w:t>»</w:t>
      </w:r>
      <w:r w:rsidRPr="00FF633C">
        <w:rPr>
          <w:i/>
          <w:sz w:val="28"/>
          <w:szCs w:val="28"/>
          <w:lang w:val="uk-UA"/>
        </w:rPr>
        <w:t xml:space="preserve">); </w:t>
      </w:r>
    </w:p>
    <w:p w:rsidR="00FF633C" w:rsidRPr="00FF633C" w:rsidRDefault="00FF633C" w:rsidP="00152304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Надходження від орендної плати за користування цілісним майновим комплексом та іншим майном, що перебуває в комунальній власності надійшло 124,9 %  при плані</w:t>
      </w:r>
      <w:r w:rsidR="00474526">
        <w:rPr>
          <w:sz w:val="28"/>
          <w:szCs w:val="28"/>
          <w:lang w:val="uk-UA"/>
        </w:rPr>
        <w:t xml:space="preserve"> 201,0 </w:t>
      </w:r>
      <w:proofErr w:type="spellStart"/>
      <w:r w:rsidR="00474526">
        <w:rPr>
          <w:sz w:val="28"/>
          <w:szCs w:val="28"/>
          <w:lang w:val="uk-UA"/>
        </w:rPr>
        <w:t>тис.грн</w:t>
      </w:r>
      <w:proofErr w:type="spellEnd"/>
      <w:r w:rsidR="00474526">
        <w:rPr>
          <w:sz w:val="28"/>
          <w:szCs w:val="28"/>
          <w:lang w:val="uk-UA"/>
        </w:rPr>
        <w:t xml:space="preserve">, факт 251,1 </w:t>
      </w:r>
      <w:proofErr w:type="spellStart"/>
      <w:r w:rsidR="00474526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 Темп росту до минулого року – 121,1 %, або на 43,7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 більше.</w:t>
      </w:r>
    </w:p>
    <w:p w:rsidR="00FF633C" w:rsidRPr="00FF633C" w:rsidRDefault="00FF633C" w:rsidP="00152304">
      <w:pPr>
        <w:shd w:val="clear" w:color="auto" w:fill="FFFFFF"/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Надходження від сплати адміністративних штрафів, штрафних санкцій -  виконання планових призначень з урахуванням внесених змін забезпечено н</w:t>
      </w:r>
      <w:r w:rsidR="00474526">
        <w:rPr>
          <w:sz w:val="28"/>
          <w:szCs w:val="28"/>
          <w:lang w:val="uk-UA"/>
        </w:rPr>
        <w:t xml:space="preserve">а 101,3 %, при плані 208,8 </w:t>
      </w:r>
      <w:proofErr w:type="spellStart"/>
      <w:r w:rsidR="00474526">
        <w:rPr>
          <w:sz w:val="28"/>
          <w:szCs w:val="28"/>
          <w:lang w:val="uk-UA"/>
        </w:rPr>
        <w:t>тис.грн</w:t>
      </w:r>
      <w:proofErr w:type="spellEnd"/>
      <w:r w:rsidR="00474526">
        <w:rPr>
          <w:sz w:val="28"/>
          <w:szCs w:val="28"/>
          <w:lang w:val="uk-UA"/>
        </w:rPr>
        <w:t xml:space="preserve">. факт 211,4 </w:t>
      </w:r>
      <w:proofErr w:type="spellStart"/>
      <w:r w:rsidR="00474526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., або додатково до плану отримано  2,6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 Темп росту до відповідного періоду минулого року  збільшився на 385,4 %, або на 156,5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 більше.</w:t>
      </w:r>
      <w:r w:rsidRPr="00FF633C">
        <w:rPr>
          <w:i/>
          <w:sz w:val="28"/>
          <w:szCs w:val="28"/>
          <w:lang w:val="uk-UA"/>
        </w:rPr>
        <w:t xml:space="preserve"> </w:t>
      </w:r>
    </w:p>
    <w:p w:rsidR="00FF633C" w:rsidRPr="00FF633C" w:rsidRDefault="00FF633C" w:rsidP="00152304">
      <w:pPr>
        <w:shd w:val="clear" w:color="auto" w:fill="FFFFFF"/>
        <w:tabs>
          <w:tab w:val="left" w:pos="720"/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Плата за надання адміністративних послуг –</w:t>
      </w:r>
      <w:r w:rsidR="00474526">
        <w:rPr>
          <w:sz w:val="28"/>
          <w:szCs w:val="28"/>
          <w:lang w:val="uk-UA"/>
        </w:rPr>
        <w:t xml:space="preserve"> 106,7 % при плані 1 341,8 </w:t>
      </w:r>
      <w:proofErr w:type="spellStart"/>
      <w:r w:rsidR="00474526">
        <w:rPr>
          <w:sz w:val="28"/>
          <w:szCs w:val="28"/>
          <w:lang w:val="uk-UA"/>
        </w:rPr>
        <w:t>тис.грн</w:t>
      </w:r>
      <w:proofErr w:type="spellEnd"/>
      <w:r w:rsidR="00474526">
        <w:rPr>
          <w:sz w:val="28"/>
          <w:szCs w:val="28"/>
          <w:lang w:val="uk-UA"/>
        </w:rPr>
        <w:t xml:space="preserve">., факт 1 431,1 </w:t>
      </w:r>
      <w:proofErr w:type="spellStart"/>
      <w:r w:rsidR="00474526">
        <w:rPr>
          <w:sz w:val="28"/>
          <w:szCs w:val="28"/>
          <w:lang w:val="uk-UA"/>
        </w:rPr>
        <w:t>тис.грн</w:t>
      </w:r>
      <w:proofErr w:type="spellEnd"/>
      <w:r w:rsidR="00474526">
        <w:rPr>
          <w:sz w:val="28"/>
          <w:szCs w:val="28"/>
          <w:lang w:val="uk-UA"/>
        </w:rPr>
        <w:t xml:space="preserve">., або на 89,3 </w:t>
      </w:r>
      <w:proofErr w:type="spellStart"/>
      <w:r w:rsidR="00474526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 більше. Темп ро</w:t>
      </w:r>
      <w:r w:rsidR="00152304">
        <w:rPr>
          <w:sz w:val="28"/>
          <w:szCs w:val="28"/>
          <w:lang w:val="uk-UA"/>
        </w:rPr>
        <w:t>сту до минулого року склав 93,6</w:t>
      </w:r>
      <w:r w:rsidR="00474526">
        <w:rPr>
          <w:sz w:val="28"/>
          <w:szCs w:val="28"/>
          <w:lang w:val="uk-UA"/>
        </w:rPr>
        <w:t xml:space="preserve">%,  або на  97,7 </w:t>
      </w:r>
      <w:proofErr w:type="spellStart"/>
      <w:r w:rsidR="00474526">
        <w:rPr>
          <w:sz w:val="28"/>
          <w:szCs w:val="28"/>
          <w:lang w:val="uk-UA"/>
        </w:rPr>
        <w:t>тис.грн</w:t>
      </w:r>
      <w:proofErr w:type="spellEnd"/>
      <w:r w:rsidR="00474526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менше. (</w:t>
      </w:r>
      <w:r w:rsidRPr="00FF633C">
        <w:rPr>
          <w:i/>
          <w:sz w:val="28"/>
          <w:szCs w:val="28"/>
          <w:lang w:val="uk-UA"/>
        </w:rPr>
        <w:t>Довідково: негативно вплинуло за рахунок зменшення кількості відповідних звернень</w:t>
      </w:r>
      <w:r w:rsidRPr="00FF633C">
        <w:rPr>
          <w:sz w:val="28"/>
          <w:szCs w:val="28"/>
          <w:lang w:val="uk-UA"/>
        </w:rPr>
        <w:t>).</w:t>
      </w:r>
    </w:p>
    <w:p w:rsidR="00FF633C" w:rsidRPr="00FF633C" w:rsidRDefault="00FF633C" w:rsidP="00474526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Інші неподаткові надходження  – виконання планових призначень з урахуванням внесених змін забезпечено на 101,0 %, при плані 1 097,2 тис. грн. факт 1 107,7 тис. грн., або на 10,5 тис. грн. більше. Темп росту до </w:t>
      </w:r>
      <w:r w:rsidRPr="00FF633C">
        <w:rPr>
          <w:sz w:val="28"/>
          <w:szCs w:val="28"/>
          <w:lang w:val="uk-UA"/>
        </w:rPr>
        <w:lastRenderedPageBreak/>
        <w:t xml:space="preserve">відповідного періоду минулого року  640,5 %, або на 934,8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., більше. (</w:t>
      </w:r>
      <w:r w:rsidRPr="00FF633C">
        <w:rPr>
          <w:i/>
          <w:sz w:val="28"/>
          <w:szCs w:val="28"/>
          <w:lang w:val="uk-UA"/>
        </w:rPr>
        <w:t>Довідково: позитивно вплинуло за рахунок</w:t>
      </w:r>
      <w:r w:rsidRPr="00FF633C">
        <w:rPr>
          <w:sz w:val="28"/>
          <w:szCs w:val="28"/>
          <w:lang w:val="uk-UA"/>
        </w:rPr>
        <w:t xml:space="preserve"> </w:t>
      </w:r>
      <w:r w:rsidRPr="00FF633C">
        <w:rPr>
          <w:i/>
          <w:sz w:val="28"/>
          <w:szCs w:val="28"/>
          <w:lang w:val="uk-UA"/>
        </w:rPr>
        <w:t xml:space="preserve">повернення до місцевого бюджету коштів фінансування минулих років (відновлення касових видатків) від закладів освіти, Центру надання </w:t>
      </w:r>
      <w:proofErr w:type="spellStart"/>
      <w:r w:rsidRPr="00FF633C">
        <w:rPr>
          <w:i/>
          <w:sz w:val="28"/>
          <w:szCs w:val="28"/>
          <w:lang w:val="uk-UA"/>
        </w:rPr>
        <w:t>соц.послуг</w:t>
      </w:r>
      <w:proofErr w:type="spellEnd"/>
      <w:r w:rsidRPr="00FF633C">
        <w:rPr>
          <w:i/>
          <w:sz w:val="28"/>
          <w:szCs w:val="28"/>
          <w:lang w:val="uk-UA"/>
        </w:rPr>
        <w:t xml:space="preserve"> та лікарні).</w:t>
      </w:r>
    </w:p>
    <w:p w:rsidR="00FF633C" w:rsidRPr="00FF633C" w:rsidRDefault="00FF633C" w:rsidP="00152304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 Акцизний податок виконано на 108,5 % при плані 4 011,8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факт 4 351,2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, або на 339,4 тис. грн. більше. Темп росту до минулого р</w:t>
      </w:r>
      <w:r w:rsidR="00474526">
        <w:rPr>
          <w:sz w:val="28"/>
          <w:szCs w:val="28"/>
          <w:lang w:val="uk-UA"/>
        </w:rPr>
        <w:t xml:space="preserve">оку 216,1 % або на 2 337,4 </w:t>
      </w:r>
      <w:proofErr w:type="spellStart"/>
      <w:r w:rsidR="00474526">
        <w:rPr>
          <w:sz w:val="28"/>
          <w:szCs w:val="28"/>
          <w:lang w:val="uk-UA"/>
        </w:rPr>
        <w:t>тис.грн</w:t>
      </w:r>
      <w:proofErr w:type="spellEnd"/>
      <w:r w:rsidR="00474526">
        <w:rPr>
          <w:sz w:val="28"/>
          <w:szCs w:val="28"/>
          <w:lang w:val="uk-UA"/>
        </w:rPr>
        <w:t>., більше</w:t>
      </w:r>
      <w:r w:rsidRPr="00FF633C">
        <w:rPr>
          <w:sz w:val="28"/>
          <w:szCs w:val="28"/>
          <w:lang w:val="uk-UA"/>
        </w:rPr>
        <w:t xml:space="preserve"> (</w:t>
      </w:r>
      <w:r w:rsidRPr="00FF633C">
        <w:rPr>
          <w:i/>
          <w:sz w:val="28"/>
          <w:szCs w:val="28"/>
          <w:lang w:val="uk-UA"/>
        </w:rPr>
        <w:t xml:space="preserve">позитивно на темп росту вплинуло збільшення від надходжень акцизного податку з реалізації пального на 1 996,3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.). </w:t>
      </w:r>
      <w:r w:rsidRPr="00FF633C">
        <w:rPr>
          <w:sz w:val="28"/>
          <w:szCs w:val="28"/>
          <w:lang w:val="uk-UA"/>
        </w:rPr>
        <w:t xml:space="preserve">«Акцизний податок з реалізації суб’єктами господарювання роздрібної торгівлі підакцизних товарів» виконано на 110,5 % при плані 1 357,4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факт 1 499,6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4B2ACF">
        <w:rPr>
          <w:sz w:val="28"/>
          <w:szCs w:val="28"/>
          <w:lang w:val="uk-UA"/>
        </w:rPr>
        <w:t xml:space="preserve">., або на 142,2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 більше. Темп росту до відповідного періоду минулого року </w:t>
      </w:r>
      <w:r w:rsidR="00152304">
        <w:rPr>
          <w:sz w:val="28"/>
          <w:szCs w:val="28"/>
          <w:lang w:val="uk-UA"/>
        </w:rPr>
        <w:t xml:space="preserve"> 129,4 %, або на 341,0 </w:t>
      </w:r>
      <w:proofErr w:type="spellStart"/>
      <w:r w:rsidR="00152304">
        <w:rPr>
          <w:sz w:val="28"/>
          <w:szCs w:val="28"/>
          <w:lang w:val="uk-UA"/>
        </w:rPr>
        <w:t>тис.грн</w:t>
      </w:r>
      <w:proofErr w:type="spellEnd"/>
      <w:r w:rsidR="00152304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більше.  </w:t>
      </w:r>
    </w:p>
    <w:p w:rsidR="00FF633C" w:rsidRPr="00FF633C" w:rsidRDefault="00FF633C" w:rsidP="00152304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Виконання планових показників дохідної частини бюджету Ананьївської міської територіальної громади  по спеціальному фонду з урахуванням внесених змін  за січень-грудень 2023 року становить </w:t>
      </w:r>
      <w:r w:rsidR="004B2ACF">
        <w:rPr>
          <w:sz w:val="28"/>
          <w:szCs w:val="28"/>
          <w:lang w:val="uk-UA"/>
        </w:rPr>
        <w:t xml:space="preserve">125,2 %, при плані  8793,6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., </w:t>
      </w:r>
      <w:r w:rsidR="004B2ACF">
        <w:rPr>
          <w:sz w:val="28"/>
          <w:szCs w:val="28"/>
          <w:lang w:val="uk-UA"/>
        </w:rPr>
        <w:t xml:space="preserve">фактично надійшло 11 005,8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.,  або на  </w:t>
      </w:r>
      <w:r w:rsidR="00152304">
        <w:rPr>
          <w:sz w:val="28"/>
          <w:szCs w:val="28"/>
          <w:lang w:val="uk-UA"/>
        </w:rPr>
        <w:t xml:space="preserve">               </w:t>
      </w:r>
      <w:r w:rsidR="004B2ACF">
        <w:rPr>
          <w:sz w:val="28"/>
          <w:szCs w:val="28"/>
          <w:lang w:val="uk-UA"/>
        </w:rPr>
        <w:t xml:space="preserve">2 212,2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., більше. Темп росту до відповідного періоду минулого року  8</w:t>
      </w:r>
      <w:r w:rsidR="004B2ACF">
        <w:rPr>
          <w:sz w:val="28"/>
          <w:szCs w:val="28"/>
          <w:lang w:val="uk-UA"/>
        </w:rPr>
        <w:t xml:space="preserve">00,6 %, або на 9631,1  </w:t>
      </w:r>
      <w:proofErr w:type="spellStart"/>
      <w:r w:rsidR="004B2ACF">
        <w:rPr>
          <w:sz w:val="28"/>
          <w:szCs w:val="28"/>
          <w:lang w:val="uk-UA"/>
        </w:rPr>
        <w:t>тис.грн</w:t>
      </w:r>
      <w:proofErr w:type="spellEnd"/>
      <w:r w:rsidR="004B2ACF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більше.  Офіційни</w:t>
      </w:r>
      <w:r w:rsidR="00696DEC">
        <w:rPr>
          <w:sz w:val="28"/>
          <w:szCs w:val="28"/>
          <w:lang w:val="uk-UA"/>
        </w:rPr>
        <w:t>х</w:t>
      </w:r>
      <w:r w:rsidRPr="00FF633C">
        <w:rPr>
          <w:sz w:val="28"/>
          <w:szCs w:val="28"/>
          <w:lang w:val="uk-UA"/>
        </w:rPr>
        <w:t xml:space="preserve"> трансфертів надійшло </w:t>
      </w:r>
      <w:r w:rsidR="004B2ACF">
        <w:rPr>
          <w:sz w:val="28"/>
          <w:szCs w:val="28"/>
          <w:lang w:val="uk-UA"/>
        </w:rPr>
        <w:t xml:space="preserve">             </w:t>
      </w:r>
      <w:r w:rsidRPr="00FF633C">
        <w:rPr>
          <w:sz w:val="28"/>
          <w:szCs w:val="28"/>
          <w:lang w:val="uk-UA"/>
        </w:rPr>
        <w:t xml:space="preserve">6 545,6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., при плані 6 626,8 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., що скла</w:t>
      </w:r>
      <w:r w:rsidR="00152304">
        <w:rPr>
          <w:sz w:val="28"/>
          <w:szCs w:val="28"/>
          <w:lang w:val="uk-UA"/>
        </w:rPr>
        <w:t xml:space="preserve">ло 98,8 %, або на 81,3 </w:t>
      </w:r>
      <w:proofErr w:type="spellStart"/>
      <w:r w:rsidR="00152304">
        <w:rPr>
          <w:sz w:val="28"/>
          <w:szCs w:val="28"/>
          <w:lang w:val="uk-UA"/>
        </w:rPr>
        <w:t>тис.грн</w:t>
      </w:r>
      <w:proofErr w:type="spellEnd"/>
      <w:r w:rsidR="00152304">
        <w:rPr>
          <w:sz w:val="28"/>
          <w:szCs w:val="28"/>
          <w:lang w:val="uk-UA"/>
        </w:rPr>
        <w:t>. менше. Недоотримано: с</w:t>
      </w:r>
      <w:r w:rsidRPr="00FF633C">
        <w:rPr>
          <w:sz w:val="28"/>
          <w:szCs w:val="28"/>
          <w:lang w:val="uk-UA"/>
        </w:rPr>
        <w:t xml:space="preserve">убвенція з місцевого бюджету на виконання інвестиційних проектів в сумі 81,3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 </w:t>
      </w:r>
    </w:p>
    <w:p w:rsidR="00FF633C" w:rsidRPr="00FF633C" w:rsidRDefault="00FF633C" w:rsidP="00152304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Спеціальний фонд власних надходжень  бюджету за січень-грудень 2023 року (без урахування трансфертів) виконано на 205,8 %, при плані  </w:t>
      </w:r>
      <w:r w:rsidR="00152304">
        <w:rPr>
          <w:sz w:val="28"/>
          <w:szCs w:val="28"/>
          <w:lang w:val="uk-UA"/>
        </w:rPr>
        <w:t xml:space="preserve">               </w:t>
      </w:r>
      <w:r w:rsidR="004B2ACF">
        <w:rPr>
          <w:sz w:val="28"/>
          <w:szCs w:val="28"/>
          <w:lang w:val="uk-UA"/>
        </w:rPr>
        <w:t xml:space="preserve">2 166,8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.,</w:t>
      </w:r>
      <w:r w:rsidR="004B2ACF">
        <w:rPr>
          <w:sz w:val="28"/>
          <w:szCs w:val="28"/>
          <w:lang w:val="uk-UA"/>
        </w:rPr>
        <w:t xml:space="preserve"> фактично надійшло 4 460,3 </w:t>
      </w:r>
      <w:proofErr w:type="spellStart"/>
      <w:r w:rsidR="004B2ACF">
        <w:rPr>
          <w:sz w:val="28"/>
          <w:szCs w:val="28"/>
          <w:lang w:val="uk-UA"/>
        </w:rPr>
        <w:t>тис.грн</w:t>
      </w:r>
      <w:proofErr w:type="spellEnd"/>
      <w:r w:rsidR="004B2ACF">
        <w:rPr>
          <w:sz w:val="28"/>
          <w:szCs w:val="28"/>
          <w:lang w:val="uk-UA"/>
        </w:rPr>
        <w:t xml:space="preserve">.,  або на  2 293,4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 більше. Виконання бюджету по власним надходженням спеціального фонду в порівнянні до відповідного періоду минулого року  становить  </w:t>
      </w:r>
      <w:r w:rsidR="00BA4388">
        <w:rPr>
          <w:sz w:val="28"/>
          <w:szCs w:val="28"/>
          <w:lang w:val="uk-UA"/>
        </w:rPr>
        <w:t xml:space="preserve">                 </w:t>
      </w:r>
      <w:r w:rsidRPr="00FF633C">
        <w:rPr>
          <w:sz w:val="28"/>
          <w:szCs w:val="28"/>
          <w:lang w:val="uk-UA"/>
        </w:rPr>
        <w:t xml:space="preserve">324,4 %, або на 3085,5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 більше.  </w:t>
      </w:r>
    </w:p>
    <w:p w:rsidR="00FF633C" w:rsidRPr="00FF633C" w:rsidRDefault="00FF633C" w:rsidP="00BA4388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Джерелом надходжень до спеціального фонду бюджету є надходження від екологічний податку, інших неподаткових надходжень, надходжень від продажу основного капіталу   та власні надходження бюджетних установ.</w:t>
      </w:r>
    </w:p>
    <w:p w:rsidR="00FF633C" w:rsidRPr="00FF633C" w:rsidRDefault="00BA4388" w:rsidP="00BA4388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F633C" w:rsidRPr="00FF633C">
        <w:rPr>
          <w:sz w:val="28"/>
          <w:szCs w:val="28"/>
          <w:lang w:val="uk-UA"/>
        </w:rPr>
        <w:t xml:space="preserve">  Екологічний податок виконано на 129,0 %. При плані  42,2 </w:t>
      </w:r>
      <w:proofErr w:type="spellStart"/>
      <w:r w:rsidR="00FF633C" w:rsidRPr="00FF633C">
        <w:rPr>
          <w:sz w:val="28"/>
          <w:szCs w:val="28"/>
          <w:lang w:val="uk-UA"/>
        </w:rPr>
        <w:t>тис.гр</w:t>
      </w:r>
      <w:r w:rsidR="004B2ACF">
        <w:rPr>
          <w:sz w:val="28"/>
          <w:szCs w:val="28"/>
          <w:lang w:val="uk-UA"/>
        </w:rPr>
        <w:t>н</w:t>
      </w:r>
      <w:proofErr w:type="spellEnd"/>
      <w:r w:rsidR="004B2ACF">
        <w:rPr>
          <w:sz w:val="28"/>
          <w:szCs w:val="28"/>
          <w:lang w:val="uk-UA"/>
        </w:rPr>
        <w:t xml:space="preserve">., фактично надійшло 54,4 </w:t>
      </w:r>
      <w:proofErr w:type="spellStart"/>
      <w:r w:rsidR="004B2ACF">
        <w:rPr>
          <w:sz w:val="28"/>
          <w:szCs w:val="28"/>
          <w:lang w:val="uk-UA"/>
        </w:rPr>
        <w:t>тис.</w:t>
      </w:r>
      <w:r w:rsidR="00FF633C" w:rsidRPr="00FF633C">
        <w:rPr>
          <w:sz w:val="28"/>
          <w:szCs w:val="28"/>
          <w:lang w:val="uk-UA"/>
        </w:rPr>
        <w:t>грн</w:t>
      </w:r>
      <w:proofErr w:type="spellEnd"/>
      <w:r w:rsidR="00FF633C" w:rsidRPr="00FF633C">
        <w:rPr>
          <w:sz w:val="28"/>
          <w:szCs w:val="28"/>
          <w:lang w:val="uk-UA"/>
        </w:rPr>
        <w:t xml:space="preserve">., що  на 12,2 </w:t>
      </w:r>
      <w:proofErr w:type="spellStart"/>
      <w:r w:rsidR="00FF633C" w:rsidRPr="00FF633C"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>. більше. Темп росту до відповідного періоду минулого року склав</w:t>
      </w:r>
      <w:r>
        <w:rPr>
          <w:sz w:val="28"/>
          <w:szCs w:val="28"/>
          <w:lang w:val="uk-UA"/>
        </w:rPr>
        <w:t xml:space="preserve"> 113,6 %, або на</w:t>
      </w:r>
      <w:r w:rsidR="004B2ACF">
        <w:rPr>
          <w:sz w:val="28"/>
          <w:szCs w:val="28"/>
          <w:lang w:val="uk-UA"/>
        </w:rPr>
        <w:t xml:space="preserve">  6,5 </w:t>
      </w:r>
      <w:proofErr w:type="spellStart"/>
      <w:r w:rsidR="004B2ACF">
        <w:rPr>
          <w:sz w:val="28"/>
          <w:szCs w:val="28"/>
          <w:lang w:val="uk-UA"/>
        </w:rPr>
        <w:t>тис.</w:t>
      </w:r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.</w:t>
      </w:r>
      <w:r w:rsidR="00FF633C" w:rsidRPr="00FF633C">
        <w:rPr>
          <w:sz w:val="28"/>
          <w:szCs w:val="28"/>
          <w:lang w:val="uk-UA"/>
        </w:rPr>
        <w:t xml:space="preserve"> більше;</w:t>
      </w:r>
    </w:p>
    <w:p w:rsidR="00FF633C" w:rsidRPr="00FF633C" w:rsidRDefault="00FF633C" w:rsidP="00BA4388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 Інші неподаткові надходження: </w:t>
      </w:r>
      <w:r w:rsidR="004B2ACF">
        <w:rPr>
          <w:sz w:val="28"/>
          <w:szCs w:val="28"/>
          <w:lang w:val="uk-UA"/>
        </w:rPr>
        <w:t>г</w:t>
      </w:r>
      <w:r w:rsidRPr="00FF633C">
        <w:rPr>
          <w:sz w:val="28"/>
          <w:szCs w:val="28"/>
          <w:lang w:val="uk-UA"/>
        </w:rPr>
        <w:t xml:space="preserve">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 додатково надійшло 195,2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BA4388">
      <w:pPr>
        <w:shd w:val="clear" w:color="auto" w:fill="FFFFFF"/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 Доходи від операцій з капіталом: </w:t>
      </w:r>
      <w:r w:rsidR="004B2ACF">
        <w:rPr>
          <w:sz w:val="28"/>
          <w:szCs w:val="28"/>
          <w:lang w:val="uk-UA"/>
        </w:rPr>
        <w:t>к</w:t>
      </w:r>
      <w:r w:rsidRPr="00FF633C">
        <w:rPr>
          <w:sz w:val="28"/>
          <w:szCs w:val="28"/>
          <w:lang w:val="uk-UA"/>
        </w:rPr>
        <w:t xml:space="preserve">ошти від відчуження майна, що перебуває в комунальній власності   додатково надійшло 293,5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 </w:t>
      </w:r>
      <w:r w:rsidRPr="00FF633C">
        <w:rPr>
          <w:i/>
          <w:sz w:val="28"/>
          <w:szCs w:val="28"/>
          <w:lang w:val="uk-UA"/>
        </w:rPr>
        <w:t>(Довідково: приватизація об</w:t>
      </w:r>
      <w:r w:rsidRPr="00FF633C">
        <w:rPr>
          <w:rFonts w:ascii="Calibri" w:hAnsi="Calibri" w:cs="Calibri"/>
          <w:i/>
          <w:sz w:val="28"/>
          <w:szCs w:val="28"/>
          <w:lang w:val="uk-UA"/>
        </w:rPr>
        <w:t>'</w:t>
      </w:r>
      <w:r w:rsidRPr="00FF633C">
        <w:rPr>
          <w:i/>
          <w:sz w:val="28"/>
          <w:szCs w:val="28"/>
          <w:lang w:val="uk-UA"/>
        </w:rPr>
        <w:t>єктів комунальної власності – нежитлова будівля котельні (за адресою</w:t>
      </w:r>
      <w:r w:rsidR="004B2ACF">
        <w:rPr>
          <w:i/>
          <w:sz w:val="28"/>
          <w:szCs w:val="28"/>
          <w:lang w:val="uk-UA"/>
        </w:rPr>
        <w:t>:</w:t>
      </w:r>
      <w:r w:rsidRPr="00FF633C">
        <w:rPr>
          <w:i/>
          <w:sz w:val="28"/>
          <w:szCs w:val="28"/>
          <w:lang w:val="uk-UA"/>
        </w:rPr>
        <w:t xml:space="preserve"> </w:t>
      </w:r>
      <w:proofErr w:type="spellStart"/>
      <w:r w:rsidRPr="00FF633C">
        <w:rPr>
          <w:i/>
          <w:sz w:val="28"/>
          <w:szCs w:val="28"/>
          <w:lang w:val="uk-UA"/>
        </w:rPr>
        <w:t>м.Ананьїв</w:t>
      </w:r>
      <w:proofErr w:type="spellEnd"/>
      <w:r w:rsidR="004B2ACF">
        <w:rPr>
          <w:i/>
          <w:sz w:val="28"/>
          <w:szCs w:val="28"/>
          <w:lang w:val="uk-UA"/>
        </w:rPr>
        <w:t>,</w:t>
      </w:r>
      <w:r w:rsidRPr="00FF633C">
        <w:rPr>
          <w:i/>
          <w:sz w:val="28"/>
          <w:szCs w:val="28"/>
          <w:lang w:val="uk-UA"/>
        </w:rPr>
        <w:t xml:space="preserve"> </w:t>
      </w:r>
      <w:proofErr w:type="spellStart"/>
      <w:r w:rsidRPr="00FF633C">
        <w:rPr>
          <w:i/>
          <w:sz w:val="28"/>
          <w:szCs w:val="28"/>
          <w:lang w:val="uk-UA"/>
        </w:rPr>
        <w:t>вул.Гімназійна</w:t>
      </w:r>
      <w:proofErr w:type="spellEnd"/>
      <w:r w:rsidRPr="00FF633C">
        <w:rPr>
          <w:i/>
          <w:sz w:val="28"/>
          <w:szCs w:val="28"/>
          <w:lang w:val="uk-UA"/>
        </w:rPr>
        <w:t xml:space="preserve"> (бувша Пушкіна), 37а) та громадський будинок нежитлова будівля з господарськими </w:t>
      </w:r>
      <w:r w:rsidRPr="00FF633C">
        <w:rPr>
          <w:i/>
          <w:sz w:val="28"/>
          <w:szCs w:val="28"/>
          <w:lang w:val="uk-UA"/>
        </w:rPr>
        <w:lastRenderedPageBreak/>
        <w:t>(допоміжними) будівлями та спорудами (за адресою</w:t>
      </w:r>
      <w:r w:rsidR="004B2ACF">
        <w:rPr>
          <w:i/>
          <w:sz w:val="28"/>
          <w:szCs w:val="28"/>
          <w:lang w:val="uk-UA"/>
        </w:rPr>
        <w:t>:</w:t>
      </w:r>
      <w:r w:rsidRPr="00FF633C">
        <w:rPr>
          <w:i/>
          <w:sz w:val="28"/>
          <w:szCs w:val="28"/>
          <w:lang w:val="uk-UA"/>
        </w:rPr>
        <w:t xml:space="preserve"> </w:t>
      </w:r>
      <w:proofErr w:type="spellStart"/>
      <w:r w:rsidRPr="00FF633C">
        <w:rPr>
          <w:i/>
          <w:sz w:val="28"/>
          <w:szCs w:val="28"/>
          <w:lang w:val="uk-UA"/>
        </w:rPr>
        <w:t>м.Ананьїв</w:t>
      </w:r>
      <w:proofErr w:type="spellEnd"/>
      <w:r w:rsidRPr="00FF633C">
        <w:rPr>
          <w:i/>
          <w:sz w:val="28"/>
          <w:szCs w:val="28"/>
          <w:lang w:val="uk-UA"/>
        </w:rPr>
        <w:t xml:space="preserve"> </w:t>
      </w:r>
      <w:proofErr w:type="spellStart"/>
      <w:r w:rsidRPr="00FF633C">
        <w:rPr>
          <w:i/>
          <w:sz w:val="28"/>
          <w:szCs w:val="28"/>
          <w:lang w:val="uk-UA"/>
        </w:rPr>
        <w:t>вул.Незалежності</w:t>
      </w:r>
      <w:proofErr w:type="spellEnd"/>
      <w:r w:rsidRPr="00FF633C">
        <w:rPr>
          <w:i/>
          <w:sz w:val="28"/>
          <w:szCs w:val="28"/>
          <w:lang w:val="uk-UA"/>
        </w:rPr>
        <w:t>, 40).</w:t>
      </w:r>
    </w:p>
    <w:p w:rsidR="00FF633C" w:rsidRPr="00FF633C" w:rsidRDefault="00FF633C" w:rsidP="00BA4388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 Власні надходження бюджетних установ  виконано на 1</w:t>
      </w:r>
      <w:r w:rsidR="004B2ACF">
        <w:rPr>
          <w:sz w:val="28"/>
          <w:szCs w:val="28"/>
          <w:lang w:val="uk-UA"/>
        </w:rPr>
        <w:t xml:space="preserve">92,5 %, при плані  2 034,6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., фактично </w:t>
      </w:r>
      <w:r w:rsidR="004B2ACF">
        <w:rPr>
          <w:sz w:val="28"/>
          <w:szCs w:val="28"/>
          <w:lang w:val="uk-UA"/>
        </w:rPr>
        <w:t xml:space="preserve">надійшло 3 917,0 </w:t>
      </w:r>
      <w:proofErr w:type="spellStart"/>
      <w:r w:rsidR="004B2ACF">
        <w:rPr>
          <w:sz w:val="28"/>
          <w:szCs w:val="28"/>
          <w:lang w:val="uk-UA"/>
        </w:rPr>
        <w:t>тис.грн</w:t>
      </w:r>
      <w:proofErr w:type="spellEnd"/>
      <w:r w:rsidR="004B2ACF">
        <w:rPr>
          <w:sz w:val="28"/>
          <w:szCs w:val="28"/>
          <w:lang w:val="uk-UA"/>
        </w:rPr>
        <w:t xml:space="preserve">.,  або на  1 882,4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 більше. Темп росту до відповідного періоду минулого року  </w:t>
      </w:r>
      <w:r w:rsidR="00BA4388">
        <w:rPr>
          <w:sz w:val="28"/>
          <w:szCs w:val="28"/>
          <w:lang w:val="uk-UA"/>
        </w:rPr>
        <w:t xml:space="preserve">295,2 %, або на 2590,2 </w:t>
      </w:r>
      <w:proofErr w:type="spellStart"/>
      <w:r w:rsidR="00BA4388">
        <w:rPr>
          <w:sz w:val="28"/>
          <w:szCs w:val="28"/>
          <w:lang w:val="uk-UA"/>
        </w:rPr>
        <w:t>тис.грн</w:t>
      </w:r>
      <w:proofErr w:type="spellEnd"/>
      <w:r w:rsidR="00BA4388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більше.</w:t>
      </w:r>
    </w:p>
    <w:p w:rsidR="00FF633C" w:rsidRPr="00FF633C" w:rsidRDefault="00FF633C" w:rsidP="00BA4388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i/>
          <w:sz w:val="28"/>
          <w:szCs w:val="28"/>
          <w:lang w:val="uk-UA"/>
        </w:rPr>
        <w:t>В тому числі:</w:t>
      </w:r>
      <w:r w:rsidRPr="00FF633C">
        <w:rPr>
          <w:sz w:val="28"/>
          <w:szCs w:val="28"/>
          <w:lang w:val="uk-UA"/>
        </w:rPr>
        <w:t xml:space="preserve"> - </w:t>
      </w:r>
      <w:r w:rsidR="004B2ACF">
        <w:rPr>
          <w:sz w:val="28"/>
          <w:szCs w:val="28"/>
          <w:lang w:val="uk-UA"/>
        </w:rPr>
        <w:t>н</w:t>
      </w:r>
      <w:r w:rsidRPr="00FF633C">
        <w:rPr>
          <w:sz w:val="28"/>
          <w:szCs w:val="28"/>
          <w:lang w:val="uk-UA"/>
        </w:rPr>
        <w:t>адходження від плати за послуги, що надаються бюджетними установами згідно із законодавством виконано на</w:t>
      </w:r>
      <w:r w:rsidR="004B2ACF">
        <w:rPr>
          <w:sz w:val="28"/>
          <w:szCs w:val="28"/>
          <w:lang w:val="uk-UA"/>
        </w:rPr>
        <w:t xml:space="preserve"> 58,8%, при плані  1 315,9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4B2ACF">
        <w:rPr>
          <w:sz w:val="28"/>
          <w:szCs w:val="28"/>
          <w:lang w:val="uk-UA"/>
        </w:rPr>
        <w:t xml:space="preserve">., фактично надійшло 773,4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.,  або на  542,5 тис. грн. менше. Темп росту до відповідного періоду минулого року </w:t>
      </w:r>
      <w:r w:rsidR="004B2ACF">
        <w:rPr>
          <w:sz w:val="28"/>
          <w:szCs w:val="28"/>
          <w:lang w:val="uk-UA"/>
        </w:rPr>
        <w:t xml:space="preserve"> 162,6 %, або на 297,8 </w:t>
      </w:r>
      <w:proofErr w:type="spellStart"/>
      <w:r w:rsidR="004B2ACF">
        <w:rPr>
          <w:sz w:val="28"/>
          <w:szCs w:val="28"/>
          <w:lang w:val="uk-UA"/>
        </w:rPr>
        <w:t>тис.грн</w:t>
      </w:r>
      <w:proofErr w:type="spellEnd"/>
      <w:r w:rsidR="004B2ACF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більше.</w:t>
      </w:r>
    </w:p>
    <w:p w:rsidR="00FF633C" w:rsidRPr="00FF633C" w:rsidRDefault="00FF633C" w:rsidP="00BA4388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Інші джерела власних надходжень бюджетних установ виконано на</w:t>
      </w:r>
      <w:r w:rsidR="004B2ACF">
        <w:rPr>
          <w:sz w:val="28"/>
          <w:szCs w:val="28"/>
          <w:lang w:val="uk-UA"/>
        </w:rPr>
        <w:t xml:space="preserve"> 437,4 %, при плані  718,7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.,</w:t>
      </w:r>
      <w:r w:rsidR="004B2ACF">
        <w:rPr>
          <w:sz w:val="28"/>
          <w:szCs w:val="28"/>
          <w:lang w:val="uk-UA"/>
        </w:rPr>
        <w:t xml:space="preserve"> фактично надійшло 3 143,7 </w:t>
      </w:r>
      <w:proofErr w:type="spellStart"/>
      <w:r w:rsidR="004B2ACF">
        <w:rPr>
          <w:sz w:val="28"/>
          <w:szCs w:val="28"/>
          <w:lang w:val="uk-UA"/>
        </w:rPr>
        <w:t>тис.грн</w:t>
      </w:r>
      <w:proofErr w:type="spellEnd"/>
      <w:r w:rsidR="004B2ACF">
        <w:rPr>
          <w:sz w:val="28"/>
          <w:szCs w:val="28"/>
          <w:lang w:val="uk-UA"/>
        </w:rPr>
        <w:t xml:space="preserve">.,  або на  2 425,0 </w:t>
      </w:r>
      <w:proofErr w:type="spellStart"/>
      <w:r w:rsidR="004B2ACF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 більше. Темп росту до відповідного періоду минулого року  3</w:t>
      </w:r>
      <w:r w:rsidR="00BA4388">
        <w:rPr>
          <w:sz w:val="28"/>
          <w:szCs w:val="28"/>
          <w:lang w:val="uk-UA"/>
        </w:rPr>
        <w:t xml:space="preserve">69,3 %, або на 2 292,4 </w:t>
      </w:r>
      <w:proofErr w:type="spellStart"/>
      <w:r w:rsidR="00BA4388">
        <w:rPr>
          <w:sz w:val="28"/>
          <w:szCs w:val="28"/>
          <w:lang w:val="uk-UA"/>
        </w:rPr>
        <w:t>тис.грн</w:t>
      </w:r>
      <w:proofErr w:type="spellEnd"/>
      <w:r w:rsidR="00BA4388">
        <w:rPr>
          <w:sz w:val="28"/>
          <w:szCs w:val="28"/>
          <w:lang w:val="uk-UA"/>
        </w:rPr>
        <w:t>. більше</w:t>
      </w:r>
      <w:r w:rsidRPr="00FF633C">
        <w:rPr>
          <w:sz w:val="28"/>
          <w:szCs w:val="28"/>
          <w:lang w:val="uk-UA"/>
        </w:rPr>
        <w:t xml:space="preserve"> (за рахунок:  </w:t>
      </w:r>
      <w:r w:rsidR="004B2ACF">
        <w:rPr>
          <w:sz w:val="28"/>
          <w:szCs w:val="28"/>
          <w:lang w:val="uk-UA"/>
        </w:rPr>
        <w:t>б</w:t>
      </w:r>
      <w:r w:rsidRPr="00FF633C">
        <w:rPr>
          <w:sz w:val="28"/>
          <w:szCs w:val="28"/>
          <w:lang w:val="uk-UA"/>
        </w:rPr>
        <w:t>лагодійні внески, гранти та дарунки)</w:t>
      </w:r>
      <w:r w:rsidR="004B2ACF">
        <w:rPr>
          <w:sz w:val="28"/>
          <w:szCs w:val="28"/>
          <w:lang w:val="uk-UA"/>
        </w:rPr>
        <w:t>.</w:t>
      </w:r>
    </w:p>
    <w:p w:rsidR="00FF633C" w:rsidRPr="00FF633C" w:rsidRDefault="00FF633C" w:rsidP="00BA4388">
      <w:pPr>
        <w:shd w:val="clear" w:color="auto" w:fill="FFFFFF"/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 Податковий борг, за інформацією Головного управління Державної податкової служби України в Одеській області станом на </w:t>
      </w:r>
      <w:r w:rsidR="0041353D">
        <w:rPr>
          <w:sz w:val="28"/>
          <w:szCs w:val="28"/>
          <w:lang w:val="uk-UA"/>
        </w:rPr>
        <w:t>0</w:t>
      </w:r>
      <w:r w:rsidRPr="00FF633C">
        <w:rPr>
          <w:sz w:val="28"/>
          <w:szCs w:val="28"/>
          <w:lang w:val="uk-UA"/>
        </w:rPr>
        <w:t xml:space="preserve">1 грудня 2023 року по громаді склав 10 774,6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., в тому числі по:</w:t>
      </w:r>
    </w:p>
    <w:p w:rsidR="00FF633C" w:rsidRPr="00FF633C" w:rsidRDefault="004B2ACF" w:rsidP="0041353D">
      <w:pPr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ПДФО – 874,1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  <w:r w:rsidR="00FF633C" w:rsidRPr="00FF633C">
        <w:rPr>
          <w:sz w:val="28"/>
          <w:szCs w:val="28"/>
          <w:lang w:val="uk-UA"/>
        </w:rPr>
        <w:t xml:space="preserve"> (</w:t>
      </w:r>
      <w:r w:rsidR="00FF633C" w:rsidRPr="00FF633C">
        <w:rPr>
          <w:i/>
          <w:sz w:val="28"/>
          <w:szCs w:val="28"/>
          <w:lang w:val="uk-UA"/>
        </w:rPr>
        <w:t xml:space="preserve">в тому числі ПДФО від </w:t>
      </w:r>
      <w:proofErr w:type="spellStart"/>
      <w:r w:rsidR="00FF633C" w:rsidRPr="00FF633C">
        <w:rPr>
          <w:i/>
          <w:sz w:val="28"/>
          <w:szCs w:val="28"/>
          <w:lang w:val="uk-UA"/>
        </w:rPr>
        <w:t>заробітнї</w:t>
      </w:r>
      <w:proofErr w:type="spellEnd"/>
      <w:r w:rsidR="00FF633C" w:rsidRPr="00FF633C">
        <w:rPr>
          <w:i/>
          <w:sz w:val="28"/>
          <w:szCs w:val="28"/>
          <w:lang w:val="uk-UA"/>
        </w:rPr>
        <w:t xml:space="preserve"> плати 73,9 </w:t>
      </w:r>
      <w:proofErr w:type="spellStart"/>
      <w:r w:rsidR="00FF633C" w:rsidRPr="00FF633C">
        <w:rPr>
          <w:i/>
          <w:sz w:val="28"/>
          <w:szCs w:val="28"/>
          <w:lang w:val="uk-UA"/>
        </w:rPr>
        <w:t>тис.грн</w:t>
      </w:r>
      <w:proofErr w:type="spellEnd"/>
      <w:r w:rsidR="00FF633C" w:rsidRPr="00FF633C">
        <w:rPr>
          <w:i/>
          <w:sz w:val="28"/>
          <w:szCs w:val="28"/>
          <w:lang w:val="uk-UA"/>
        </w:rPr>
        <w:t xml:space="preserve">., ТОВ «АНАНЬЇВСЬКА СОНЯЧНА ЕЛЕКТРИЧНА СТАНЦІЯ» – 29,5 </w:t>
      </w:r>
      <w:proofErr w:type="spellStart"/>
      <w:r w:rsidR="00FF633C" w:rsidRPr="00FF633C">
        <w:rPr>
          <w:i/>
          <w:sz w:val="28"/>
          <w:szCs w:val="28"/>
          <w:lang w:val="uk-UA"/>
        </w:rPr>
        <w:t>тис.грн</w:t>
      </w:r>
      <w:proofErr w:type="spellEnd"/>
      <w:r w:rsidR="00FF633C" w:rsidRPr="00FF633C">
        <w:rPr>
          <w:i/>
          <w:sz w:val="28"/>
          <w:szCs w:val="28"/>
          <w:lang w:val="uk-UA"/>
        </w:rPr>
        <w:t xml:space="preserve">.; ПДФО за результатами річного декларування </w:t>
      </w:r>
      <w:proofErr w:type="spellStart"/>
      <w:r w:rsidR="00FF633C" w:rsidRPr="00FF633C">
        <w:rPr>
          <w:i/>
          <w:sz w:val="28"/>
          <w:szCs w:val="28"/>
          <w:lang w:val="uk-UA"/>
        </w:rPr>
        <w:t>фіз</w:t>
      </w:r>
      <w:proofErr w:type="spellEnd"/>
      <w:r w:rsidR="00FF633C" w:rsidRPr="00FF633C">
        <w:rPr>
          <w:i/>
          <w:sz w:val="28"/>
          <w:szCs w:val="28"/>
          <w:lang w:val="uk-UA"/>
        </w:rPr>
        <w:t xml:space="preserve">..осіб – 794,8 </w:t>
      </w:r>
      <w:proofErr w:type="spellStart"/>
      <w:r w:rsidR="00FF633C" w:rsidRPr="00FF633C">
        <w:rPr>
          <w:i/>
          <w:sz w:val="28"/>
          <w:szCs w:val="28"/>
          <w:lang w:val="uk-UA"/>
        </w:rPr>
        <w:t>тис.грн</w:t>
      </w:r>
      <w:proofErr w:type="spellEnd"/>
      <w:r w:rsidR="00FF633C" w:rsidRPr="00FF633C">
        <w:rPr>
          <w:i/>
          <w:sz w:val="28"/>
          <w:szCs w:val="28"/>
          <w:lang w:val="uk-UA"/>
        </w:rPr>
        <w:t>.</w:t>
      </w:r>
      <w:r w:rsidR="00FF633C" w:rsidRPr="00FF633C">
        <w:rPr>
          <w:sz w:val="28"/>
          <w:szCs w:val="28"/>
          <w:lang w:val="uk-UA"/>
        </w:rPr>
        <w:t xml:space="preserve">;  </w:t>
      </w:r>
      <w:r w:rsidR="00FF633C" w:rsidRPr="00FF633C">
        <w:rPr>
          <w:i/>
          <w:sz w:val="28"/>
          <w:szCs w:val="28"/>
          <w:lang w:val="uk-UA"/>
        </w:rPr>
        <w:t xml:space="preserve">ПДФО у вигляді мінімального податкового зобов’язання, що підлягає сплаті фізичними особами </w:t>
      </w:r>
      <w:r>
        <w:rPr>
          <w:i/>
          <w:sz w:val="28"/>
          <w:szCs w:val="28"/>
          <w:lang w:val="uk-UA"/>
        </w:rPr>
        <w:t xml:space="preserve">- </w:t>
      </w:r>
      <w:r w:rsidR="00FF633C" w:rsidRPr="00FF633C">
        <w:rPr>
          <w:i/>
          <w:sz w:val="28"/>
          <w:szCs w:val="28"/>
          <w:lang w:val="uk-UA"/>
        </w:rPr>
        <w:t xml:space="preserve">5,5 </w:t>
      </w:r>
      <w:proofErr w:type="spellStart"/>
      <w:r w:rsidR="00FF633C" w:rsidRPr="00FF633C">
        <w:rPr>
          <w:i/>
          <w:sz w:val="28"/>
          <w:szCs w:val="28"/>
          <w:lang w:val="uk-UA"/>
        </w:rPr>
        <w:t>тис.грн</w:t>
      </w:r>
      <w:proofErr w:type="spellEnd"/>
      <w:r w:rsidR="00FF633C" w:rsidRPr="00FF633C">
        <w:rPr>
          <w:i/>
          <w:sz w:val="28"/>
          <w:szCs w:val="28"/>
          <w:lang w:val="uk-UA"/>
        </w:rPr>
        <w:t>.);</w:t>
      </w:r>
    </w:p>
    <w:p w:rsidR="00FF633C" w:rsidRPr="00FF633C" w:rsidRDefault="00FF633C" w:rsidP="0041353D">
      <w:pPr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Податок на майно в частині податку на нерухоме майно, відмінне від земельної ділянки – 290,0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., (</w:t>
      </w:r>
      <w:r w:rsidRPr="00FF633C">
        <w:rPr>
          <w:i/>
          <w:sz w:val="28"/>
          <w:szCs w:val="28"/>
          <w:lang w:val="uk-UA"/>
        </w:rPr>
        <w:t xml:space="preserve">в тому числі: податок сплачений фізичними особами, які є власниками об`єктів житлової нерухомості – 43,1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., податок сплачений фізичними особами, які є власниками об`єктів нежитлової нерухомості – 247,0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>.);</w:t>
      </w:r>
    </w:p>
    <w:p w:rsidR="00FF633C" w:rsidRPr="00FF633C" w:rsidRDefault="00FF633C" w:rsidP="0041353D">
      <w:pPr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Податок на майно в частині земельного податку – 4 860,3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., </w:t>
      </w:r>
      <w:r w:rsidR="004B2ACF">
        <w:rPr>
          <w:sz w:val="28"/>
          <w:szCs w:val="28"/>
          <w:lang w:val="uk-UA"/>
        </w:rPr>
        <w:t xml:space="preserve">           </w:t>
      </w:r>
      <w:r w:rsidRPr="00FF633C">
        <w:rPr>
          <w:sz w:val="28"/>
          <w:szCs w:val="28"/>
          <w:lang w:val="uk-UA"/>
        </w:rPr>
        <w:t>(</w:t>
      </w:r>
      <w:r w:rsidRPr="00FF633C">
        <w:rPr>
          <w:i/>
          <w:sz w:val="28"/>
          <w:szCs w:val="28"/>
          <w:lang w:val="uk-UA"/>
        </w:rPr>
        <w:t xml:space="preserve">в тому числі: - земельний податок з юридичних осіб – 68,1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>.,</w:t>
      </w:r>
      <w:r w:rsidR="0041353D">
        <w:rPr>
          <w:i/>
          <w:sz w:val="28"/>
          <w:szCs w:val="28"/>
          <w:lang w:val="uk-UA"/>
        </w:rPr>
        <w:t xml:space="preserve"> </w:t>
      </w:r>
      <w:r w:rsidRPr="00FF633C">
        <w:rPr>
          <w:i/>
          <w:sz w:val="28"/>
          <w:szCs w:val="28"/>
          <w:lang w:val="uk-UA"/>
        </w:rPr>
        <w:t xml:space="preserve">(СФГ «Анна» - 38,7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., СФГ «Поліщук» - 20,3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.);  </w:t>
      </w:r>
    </w:p>
    <w:p w:rsidR="00FF633C" w:rsidRPr="00FF633C" w:rsidRDefault="00FF633C" w:rsidP="0041353D">
      <w:pPr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i/>
          <w:sz w:val="28"/>
          <w:szCs w:val="28"/>
          <w:lang w:val="uk-UA"/>
        </w:rPr>
        <w:t xml:space="preserve">- орендна плата з юридичних осіб – 2 475,2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>., (ТОВ «</w:t>
      </w:r>
      <w:proofErr w:type="spellStart"/>
      <w:r w:rsidRPr="00FF633C">
        <w:rPr>
          <w:i/>
          <w:sz w:val="28"/>
          <w:szCs w:val="28"/>
          <w:lang w:val="uk-UA"/>
        </w:rPr>
        <w:t>Бріз</w:t>
      </w:r>
      <w:proofErr w:type="spellEnd"/>
      <w:r w:rsidRPr="00FF633C">
        <w:rPr>
          <w:i/>
          <w:sz w:val="28"/>
          <w:szCs w:val="28"/>
          <w:lang w:val="uk-UA"/>
        </w:rPr>
        <w:t xml:space="preserve"> </w:t>
      </w:r>
      <w:proofErr w:type="spellStart"/>
      <w:r w:rsidRPr="00FF633C">
        <w:rPr>
          <w:i/>
          <w:sz w:val="28"/>
          <w:szCs w:val="28"/>
          <w:lang w:val="uk-UA"/>
        </w:rPr>
        <w:t>Солар</w:t>
      </w:r>
      <w:proofErr w:type="spellEnd"/>
      <w:r w:rsidRPr="00FF633C">
        <w:rPr>
          <w:i/>
          <w:sz w:val="28"/>
          <w:szCs w:val="28"/>
          <w:lang w:val="uk-UA"/>
        </w:rPr>
        <w:t xml:space="preserve">» - 1540,1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.,- борг виник з листопада місяця 2019 року та ТОВ "АНАНЬЇВСЬКА СОНЯЧНА ЕЛЕКТРИЧНА СТАНЦІЯ" – 899,5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>., по яким було надіслано Ананьївською міською радою  претензію щодо невиконання умов договору, подано позов до суду Одеської області «Про припинення договору оренди земельної ділянки  шляхом його розірвання  та стягнення заборгованості з орендної плати». ТОВ "БРІЗ СОЛАР"</w:t>
      </w:r>
      <w:r w:rsidR="004B2ACF">
        <w:rPr>
          <w:i/>
          <w:sz w:val="28"/>
          <w:szCs w:val="28"/>
          <w:lang w:val="uk-UA"/>
        </w:rPr>
        <w:t xml:space="preserve"> </w:t>
      </w:r>
      <w:r w:rsidRPr="00FF633C">
        <w:rPr>
          <w:i/>
          <w:sz w:val="28"/>
          <w:szCs w:val="28"/>
          <w:lang w:val="uk-UA"/>
        </w:rPr>
        <w:t xml:space="preserve">- </w:t>
      </w:r>
      <w:r w:rsidR="004B2ACF">
        <w:rPr>
          <w:i/>
          <w:sz w:val="28"/>
          <w:szCs w:val="28"/>
          <w:lang w:val="uk-UA"/>
        </w:rPr>
        <w:t xml:space="preserve"> </w:t>
      </w:r>
      <w:r w:rsidRPr="00FF633C">
        <w:rPr>
          <w:i/>
          <w:sz w:val="28"/>
          <w:szCs w:val="28"/>
          <w:lang w:val="uk-UA"/>
        </w:rPr>
        <w:t xml:space="preserve">Прийнято позитивне рішення на користь міської ради на суму 794,9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>.);</w:t>
      </w:r>
    </w:p>
    <w:p w:rsidR="00FF633C" w:rsidRPr="00FF633C" w:rsidRDefault="00FF633C" w:rsidP="0041353D">
      <w:pPr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i/>
          <w:sz w:val="28"/>
          <w:szCs w:val="28"/>
          <w:lang w:val="uk-UA"/>
        </w:rPr>
        <w:t xml:space="preserve"> - земельний податок з фізичних осіб – 1 016,8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.; </w:t>
      </w:r>
    </w:p>
    <w:p w:rsidR="00FF633C" w:rsidRPr="00FF633C" w:rsidRDefault="00FF633C" w:rsidP="0041353D">
      <w:pPr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i/>
          <w:sz w:val="28"/>
          <w:szCs w:val="28"/>
          <w:lang w:val="uk-UA"/>
        </w:rPr>
        <w:t xml:space="preserve">- орендна плата з фізичних осіб – 1 300,2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>.;</w:t>
      </w:r>
    </w:p>
    <w:p w:rsidR="00FF633C" w:rsidRPr="00FF633C" w:rsidRDefault="00FF633C" w:rsidP="0041353D">
      <w:pPr>
        <w:tabs>
          <w:tab w:val="left" w:pos="5380"/>
        </w:tabs>
        <w:ind w:firstLine="709"/>
        <w:jc w:val="both"/>
        <w:rPr>
          <w:i/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Єдиний податок   - 4 730,9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., (</w:t>
      </w:r>
      <w:r w:rsidRPr="00FF633C">
        <w:rPr>
          <w:i/>
          <w:sz w:val="28"/>
          <w:szCs w:val="28"/>
          <w:lang w:val="uk-UA"/>
        </w:rPr>
        <w:t xml:space="preserve">в тому числі: - єдиний податок з фізичних осіб – 555,9 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>.</w:t>
      </w:r>
      <w:r w:rsidR="004B2ACF">
        <w:rPr>
          <w:i/>
          <w:sz w:val="28"/>
          <w:szCs w:val="28"/>
          <w:lang w:val="uk-UA"/>
        </w:rPr>
        <w:t>);</w:t>
      </w:r>
      <w:r w:rsidRPr="00FF633C">
        <w:rPr>
          <w:i/>
          <w:sz w:val="28"/>
          <w:szCs w:val="28"/>
          <w:lang w:val="uk-UA"/>
        </w:rPr>
        <w:t xml:space="preserve"> </w:t>
      </w:r>
    </w:p>
    <w:p w:rsidR="00FF633C" w:rsidRPr="00FF633C" w:rsidRDefault="00FF633C" w:rsidP="0041353D">
      <w:pPr>
        <w:tabs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i/>
          <w:sz w:val="28"/>
          <w:szCs w:val="28"/>
          <w:lang w:val="uk-UA"/>
        </w:rPr>
        <w:lastRenderedPageBreak/>
        <w:t xml:space="preserve">- єдиний податок з сільськогосподарських товаровиробників – 4 175,0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., (за даними податкової на 01.12.2023р. СФГ «Янтар» - 52,8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 xml:space="preserve">., СФГ «Полісся» - 15,1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>., ДП ДГ "ЖЕРЕБКІВСЬКЕ" СГІ</w:t>
      </w:r>
      <w:r w:rsidR="0041353D">
        <w:rPr>
          <w:i/>
          <w:sz w:val="28"/>
          <w:szCs w:val="28"/>
          <w:lang w:val="uk-UA"/>
        </w:rPr>
        <w:t xml:space="preserve"> </w:t>
      </w:r>
      <w:r w:rsidRPr="00FF633C">
        <w:rPr>
          <w:i/>
          <w:sz w:val="28"/>
          <w:szCs w:val="28"/>
          <w:lang w:val="uk-UA"/>
        </w:rPr>
        <w:t xml:space="preserve">-НЦНС – 4 103,5 </w:t>
      </w:r>
      <w:proofErr w:type="spellStart"/>
      <w:r w:rsidRPr="00FF633C">
        <w:rPr>
          <w:i/>
          <w:sz w:val="28"/>
          <w:szCs w:val="28"/>
          <w:lang w:val="uk-UA"/>
        </w:rPr>
        <w:t>тис.грн</w:t>
      </w:r>
      <w:proofErr w:type="spellEnd"/>
      <w:r w:rsidRPr="00FF633C">
        <w:rPr>
          <w:i/>
          <w:sz w:val="28"/>
          <w:szCs w:val="28"/>
          <w:lang w:val="uk-UA"/>
        </w:rPr>
        <w:t>.- нараховане мінімальне податкове зобов</w:t>
      </w:r>
      <w:r w:rsidRPr="00FF633C">
        <w:rPr>
          <w:rFonts w:ascii="Calibri" w:hAnsi="Calibri" w:cs="Calibri"/>
          <w:i/>
          <w:sz w:val="28"/>
          <w:szCs w:val="28"/>
          <w:lang w:val="uk-UA"/>
        </w:rPr>
        <w:t>'</w:t>
      </w:r>
      <w:r w:rsidRPr="00FF633C">
        <w:rPr>
          <w:i/>
          <w:sz w:val="28"/>
          <w:szCs w:val="28"/>
          <w:lang w:val="uk-UA"/>
        </w:rPr>
        <w:t>язання за 2022 рік, його погашення пов</w:t>
      </w:r>
      <w:r w:rsidRPr="00FF633C">
        <w:rPr>
          <w:rFonts w:ascii="Calibri" w:hAnsi="Calibri" w:cs="Calibri"/>
          <w:i/>
          <w:sz w:val="28"/>
          <w:szCs w:val="28"/>
          <w:lang w:val="uk-UA"/>
        </w:rPr>
        <w:t>'</w:t>
      </w:r>
      <w:r w:rsidRPr="00FF633C">
        <w:rPr>
          <w:i/>
          <w:sz w:val="28"/>
          <w:szCs w:val="28"/>
          <w:lang w:val="uk-UA"/>
        </w:rPr>
        <w:t>язане з виробництвом та реалізацією власної сільськогосподарської продукції. Вказана заборгованість сталася через п</w:t>
      </w:r>
      <w:r w:rsidR="0041353D">
        <w:rPr>
          <w:i/>
          <w:sz w:val="28"/>
          <w:szCs w:val="28"/>
          <w:lang w:val="uk-UA"/>
        </w:rPr>
        <w:t>опередні важкі роки та теперішнє</w:t>
      </w:r>
      <w:r w:rsidRPr="00FF633C">
        <w:rPr>
          <w:i/>
          <w:sz w:val="28"/>
          <w:szCs w:val="28"/>
          <w:lang w:val="uk-UA"/>
        </w:rPr>
        <w:t xml:space="preserve"> продовження воєнного стану, відсутність стабільної роботи портів, суттєву зміну та укладання логістики, падіння ціни на аграрну продукцію, підвищення цін на пальне, насіння, засоби захисту рослин, міндобрива, запчастини, обслуговування</w:t>
      </w:r>
      <w:r w:rsidR="004B2ACF">
        <w:rPr>
          <w:i/>
          <w:sz w:val="28"/>
          <w:szCs w:val="28"/>
          <w:lang w:val="uk-UA"/>
        </w:rPr>
        <w:t>)</w:t>
      </w:r>
      <w:r w:rsidRPr="00FF633C">
        <w:rPr>
          <w:i/>
          <w:sz w:val="28"/>
          <w:szCs w:val="28"/>
          <w:lang w:val="uk-UA"/>
        </w:rPr>
        <w:t>.</w:t>
      </w:r>
    </w:p>
    <w:p w:rsidR="00FF633C" w:rsidRPr="00FF633C" w:rsidRDefault="00FF633C" w:rsidP="0041353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З метою забезпечення виконання бюджету та покращення соціально-економічного стану територіальної громади проведена наступна робота:</w:t>
      </w:r>
    </w:p>
    <w:p w:rsidR="00FF633C" w:rsidRPr="00FF633C" w:rsidRDefault="00FF633C" w:rsidP="0041353D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</w:t>
      </w:r>
      <w:r w:rsidR="004B2ACF">
        <w:rPr>
          <w:sz w:val="28"/>
          <w:szCs w:val="28"/>
          <w:lang w:val="uk-UA"/>
        </w:rPr>
        <w:t>з</w:t>
      </w:r>
      <w:r w:rsidRPr="00FF633C">
        <w:rPr>
          <w:sz w:val="28"/>
          <w:szCs w:val="28"/>
          <w:lang w:val="uk-UA"/>
        </w:rPr>
        <w:t xml:space="preserve">дійснюється своєчасний та належний контроль за станом економічного розвитку Ананьївської міської територіальної громади, темп росту податку на доходи фізичних осіб за 12 місяців 2023 року складає </w:t>
      </w:r>
      <w:r w:rsidR="0041353D">
        <w:rPr>
          <w:sz w:val="28"/>
          <w:szCs w:val="28"/>
          <w:lang w:val="uk-UA"/>
        </w:rPr>
        <w:t xml:space="preserve">                </w:t>
      </w:r>
      <w:r w:rsidRPr="00FF633C">
        <w:rPr>
          <w:sz w:val="28"/>
          <w:szCs w:val="28"/>
          <w:lang w:val="uk-UA"/>
        </w:rPr>
        <w:t>135,6 %.</w:t>
      </w:r>
    </w:p>
    <w:p w:rsidR="00522E04" w:rsidRDefault="00FF633C" w:rsidP="0041353D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Щодо залучення до сплати податку на доходи фізичних осіб направлені листи: </w:t>
      </w:r>
    </w:p>
    <w:p w:rsidR="00FF633C" w:rsidRPr="00FF633C" w:rsidRDefault="00522E04" w:rsidP="0041353D">
      <w:pPr>
        <w:ind w:firstLine="709"/>
        <w:jc w:val="both"/>
        <w:rPr>
          <w:rFonts w:ascii="IBM Plex Serif" w:hAnsi="IBM Plex Serif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F633C" w:rsidRPr="00FF633C">
        <w:rPr>
          <w:sz w:val="28"/>
          <w:szCs w:val="28"/>
          <w:lang w:val="uk-UA"/>
        </w:rPr>
        <w:t xml:space="preserve">Головному управлінню ДПС в Одеській області від 11.04.2023 </w:t>
      </w:r>
      <w:r w:rsidR="0041353D">
        <w:rPr>
          <w:sz w:val="28"/>
          <w:szCs w:val="28"/>
          <w:lang w:val="uk-UA"/>
        </w:rPr>
        <w:t xml:space="preserve">року                </w:t>
      </w:r>
      <w:r w:rsidR="00FF633C" w:rsidRPr="00FF633C">
        <w:rPr>
          <w:sz w:val="28"/>
          <w:szCs w:val="28"/>
          <w:lang w:val="uk-UA"/>
        </w:rPr>
        <w:t xml:space="preserve">№ 04-22/929 </w:t>
      </w:r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щодо сприяння розгляду питання сплати податку на доходи фізичних осіб за найманих працівників, що працюють в 3 СЦШР ДСНС України в Одеській області за адресою </w:t>
      </w:r>
      <w:proofErr w:type="spellStart"/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>с.Жеребкове</w:t>
      </w:r>
      <w:proofErr w:type="spellEnd"/>
      <w:r>
        <w:rPr>
          <w:rFonts w:ascii="IBM Plex Serif" w:hAnsi="IBM Plex Serif"/>
          <w:sz w:val="28"/>
          <w:szCs w:val="28"/>
          <w:shd w:val="clear" w:color="auto" w:fill="FFFFFF"/>
          <w:lang w:val="uk-UA"/>
        </w:rPr>
        <w:t>,</w:t>
      </w:r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 до бюджету Ананьївської міської територіальної громади з січн</w:t>
      </w:r>
      <w:r w:rsidR="00BE0F86">
        <w:rPr>
          <w:rFonts w:ascii="IBM Plex Serif" w:hAnsi="IBM Plex Serif"/>
          <w:sz w:val="28"/>
          <w:szCs w:val="28"/>
          <w:shd w:val="clear" w:color="auto" w:fill="FFFFFF"/>
          <w:lang w:val="uk-UA"/>
        </w:rPr>
        <w:t>я</w:t>
      </w:r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 2023 року ПДФО до бюджету не надходить. Однак</w:t>
      </w:r>
      <w:r w:rsidR="00BE0F86">
        <w:rPr>
          <w:rFonts w:ascii="IBM Plex Serif" w:hAnsi="IBM Plex Serif"/>
          <w:sz w:val="28"/>
          <w:szCs w:val="28"/>
          <w:shd w:val="clear" w:color="auto" w:fill="FFFFFF"/>
          <w:lang w:val="uk-UA"/>
        </w:rPr>
        <w:t>,</w:t>
      </w:r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 незважаючи на перереєстрацію юридичної адреси установи,  3</w:t>
      </w:r>
      <w:r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 </w:t>
      </w:r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>СЦШР ДСНС України продовжує фактично розташовуватись, здійснювати керівництво установи та вести бухгалтерській облік за адресою</w:t>
      </w:r>
      <w:r>
        <w:rPr>
          <w:rFonts w:ascii="IBM Plex Serif" w:hAnsi="IBM Plex Serif"/>
          <w:sz w:val="28"/>
          <w:szCs w:val="28"/>
          <w:shd w:val="clear" w:color="auto" w:fill="FFFFFF"/>
          <w:lang w:val="uk-UA"/>
        </w:rPr>
        <w:t>:</w:t>
      </w:r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 вул. Арсенальна, 128, с. </w:t>
      </w:r>
      <w:proofErr w:type="spellStart"/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>Жеребкове</w:t>
      </w:r>
      <w:proofErr w:type="spellEnd"/>
      <w:r>
        <w:rPr>
          <w:rFonts w:ascii="IBM Plex Serif" w:hAnsi="IBM Plex Serif"/>
          <w:sz w:val="28"/>
          <w:szCs w:val="28"/>
          <w:shd w:val="clear" w:color="auto" w:fill="FFFFFF"/>
          <w:lang w:val="uk-UA"/>
        </w:rPr>
        <w:t>,</w:t>
      </w:r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 </w:t>
      </w:r>
      <w:r w:rsidR="00FF633C" w:rsidRPr="00FF633C">
        <w:rPr>
          <w:rFonts w:ascii="IBM Plex Serif" w:hAnsi="IBM Plex Serif" w:hint="eastAsia"/>
          <w:sz w:val="28"/>
          <w:szCs w:val="28"/>
          <w:shd w:val="clear" w:color="auto" w:fill="FFFFFF"/>
          <w:lang w:val="uk-UA"/>
        </w:rPr>
        <w:t>Подільськ</w:t>
      </w:r>
      <w:r>
        <w:rPr>
          <w:rFonts w:ascii="IBM Plex Serif" w:hAnsi="IBM Plex Serif"/>
          <w:sz w:val="28"/>
          <w:szCs w:val="28"/>
          <w:shd w:val="clear" w:color="auto" w:fill="FFFFFF"/>
          <w:lang w:val="uk-UA"/>
        </w:rPr>
        <w:t>ий</w:t>
      </w:r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 район. </w:t>
      </w:r>
    </w:p>
    <w:p w:rsidR="00FF633C" w:rsidRPr="00FF633C" w:rsidRDefault="00522E04" w:rsidP="00BE0F86">
      <w:pPr>
        <w:ind w:firstLine="709"/>
        <w:jc w:val="both"/>
        <w:rPr>
          <w:sz w:val="28"/>
          <w:szCs w:val="28"/>
          <w:lang w:val="uk-UA"/>
        </w:rPr>
      </w:pPr>
      <w:r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- </w:t>
      </w:r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>ТОВ «</w:t>
      </w:r>
      <w:proofErr w:type="spellStart"/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>Агросервіс</w:t>
      </w:r>
      <w:proofErr w:type="spellEnd"/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» </w:t>
      </w:r>
      <w:r w:rsidR="00FF633C" w:rsidRPr="00FF633C">
        <w:rPr>
          <w:sz w:val="28"/>
          <w:szCs w:val="28"/>
          <w:lang w:val="uk-UA"/>
        </w:rPr>
        <w:t xml:space="preserve"> </w:t>
      </w:r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>від 30.03.2023 № 04-22/820/,  щодо розгляду питання сплати податку на доходи фізичних осіб за найманих працівників, що працюють в ТОВ «</w:t>
      </w:r>
      <w:proofErr w:type="spellStart"/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>Агросервіс</w:t>
      </w:r>
      <w:proofErr w:type="spellEnd"/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», яка розташована за адресою </w:t>
      </w:r>
      <w:proofErr w:type="spellStart"/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>с.Жеребкове</w:t>
      </w:r>
      <w:proofErr w:type="spellEnd"/>
      <w:r>
        <w:rPr>
          <w:rFonts w:ascii="IBM Plex Serif" w:hAnsi="IBM Plex Serif"/>
          <w:sz w:val="28"/>
          <w:szCs w:val="28"/>
          <w:shd w:val="clear" w:color="auto" w:fill="FFFFFF"/>
          <w:lang w:val="uk-UA"/>
        </w:rPr>
        <w:t>,</w:t>
      </w:r>
      <w:r w:rsidR="00FF633C" w:rsidRPr="00FF633C">
        <w:rPr>
          <w:rFonts w:ascii="IBM Plex Serif" w:hAnsi="IBM Plex Serif"/>
          <w:sz w:val="28"/>
          <w:szCs w:val="28"/>
          <w:shd w:val="clear" w:color="auto" w:fill="FFFFFF"/>
          <w:lang w:val="uk-UA"/>
        </w:rPr>
        <w:t xml:space="preserve"> норм податкового законодавства стосовно зарахування ПДФО за найманих працівників до бюджету Ананьївської міської територіальної громади</w:t>
      </w:r>
      <w:r w:rsidR="00FF633C" w:rsidRPr="00FF633C">
        <w:rPr>
          <w:sz w:val="28"/>
          <w:szCs w:val="28"/>
          <w:lang w:val="uk-UA"/>
        </w:rPr>
        <w:t>.</w:t>
      </w:r>
    </w:p>
    <w:p w:rsidR="00FF633C" w:rsidRPr="00FF633C" w:rsidRDefault="00522E04" w:rsidP="00BE0F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F633C" w:rsidRPr="00FF633C">
        <w:rPr>
          <w:sz w:val="28"/>
          <w:szCs w:val="28"/>
          <w:lang w:val="uk-UA"/>
        </w:rPr>
        <w:t xml:space="preserve">Командиру військової частин, підрозділ якого розміщений на території громади про розгляд питання сплати податку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 військової частини до бюджету Ананьївської міської територіальної громади від 21.02.2023 </w:t>
      </w:r>
      <w:r w:rsidR="00BE0F86">
        <w:rPr>
          <w:sz w:val="28"/>
          <w:szCs w:val="28"/>
          <w:lang w:val="uk-UA"/>
        </w:rPr>
        <w:t xml:space="preserve">року </w:t>
      </w:r>
      <w:r w:rsidR="00FF633C" w:rsidRPr="00FF633C">
        <w:rPr>
          <w:sz w:val="28"/>
          <w:szCs w:val="28"/>
          <w:lang w:val="uk-UA"/>
        </w:rPr>
        <w:t>№04-22/479.</w:t>
      </w:r>
    </w:p>
    <w:p w:rsidR="00FF633C" w:rsidRPr="00FF633C" w:rsidRDefault="00FF633C" w:rsidP="00BE0F86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Проводиться роз'яснювальна робота з платниками податків та серед </w:t>
      </w:r>
      <w:proofErr w:type="spellStart"/>
      <w:r w:rsidRPr="00FF633C">
        <w:rPr>
          <w:sz w:val="28"/>
          <w:szCs w:val="28"/>
          <w:lang w:val="uk-UA"/>
        </w:rPr>
        <w:t>самозайнятого</w:t>
      </w:r>
      <w:proofErr w:type="spellEnd"/>
      <w:r w:rsidRPr="00FF633C">
        <w:rPr>
          <w:sz w:val="28"/>
          <w:szCs w:val="28"/>
          <w:lang w:val="uk-UA"/>
        </w:rPr>
        <w:t xml:space="preserve"> населення з питань соціальної значимості добровільної і своєчасної сплати податків до бюджету міської ради.</w:t>
      </w:r>
    </w:p>
    <w:p w:rsidR="00FF633C" w:rsidRPr="00FF633C" w:rsidRDefault="00FF633C" w:rsidP="00BE0F86">
      <w:pPr>
        <w:ind w:firstLine="709"/>
        <w:jc w:val="both"/>
        <w:outlineLvl w:val="2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Проводиться інвентаризація договорів оренди на землю та земельних ділянок всіх форм власності, щомісячно надається до податкової перелік орендарів, з якими укладено та розірвано договори оренди землі державної </w:t>
      </w:r>
      <w:r w:rsidRPr="00FF633C">
        <w:rPr>
          <w:sz w:val="28"/>
          <w:szCs w:val="28"/>
          <w:lang w:val="uk-UA"/>
        </w:rPr>
        <w:lastRenderedPageBreak/>
        <w:t>або комунальної власності (329 договорів оренди юридичних та фізичних осіб, що новоукладені та переукладені).</w:t>
      </w:r>
    </w:p>
    <w:p w:rsidR="00FF633C" w:rsidRPr="00FF633C" w:rsidRDefault="00FF633C" w:rsidP="00BE0F86">
      <w:pPr>
        <w:ind w:firstLine="709"/>
        <w:jc w:val="both"/>
        <w:outlineLvl w:val="2"/>
        <w:rPr>
          <w:sz w:val="28"/>
          <w:szCs w:val="28"/>
          <w:lang w:val="uk-UA"/>
        </w:rPr>
      </w:pPr>
      <w:r w:rsidRPr="00FF633C">
        <w:rPr>
          <w:color w:val="000000"/>
          <w:sz w:val="28"/>
          <w:szCs w:val="28"/>
          <w:lang w:val="uk-UA"/>
        </w:rPr>
        <w:t xml:space="preserve">- </w:t>
      </w:r>
      <w:r w:rsidRPr="00FF633C">
        <w:rPr>
          <w:sz w:val="28"/>
          <w:szCs w:val="28"/>
          <w:lang w:val="uk-UA"/>
        </w:rPr>
        <w:t>З початку 2023 року було проведено одне засідання Робочої групи з питань легалізації виплати заробітної плати та зайнятості населення та одне засідання Координаційної ради із забезпечення надходжень до бюджету Ананьївської міської територіальної громади та повнотою сплати податкового боргу, заборгованості з єдиного соціального внеску.</w:t>
      </w:r>
    </w:p>
    <w:p w:rsidR="00FF633C" w:rsidRPr="00FF633C" w:rsidRDefault="00FF633C" w:rsidP="00BE0F86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FF633C">
        <w:rPr>
          <w:color w:val="000000"/>
          <w:sz w:val="28"/>
          <w:szCs w:val="28"/>
        </w:rPr>
        <w:t xml:space="preserve">Ананьївською </w:t>
      </w:r>
      <w:proofErr w:type="spellStart"/>
      <w:r w:rsidRPr="00FF633C">
        <w:rPr>
          <w:color w:val="000000"/>
          <w:sz w:val="28"/>
          <w:szCs w:val="28"/>
        </w:rPr>
        <w:t>міською</w:t>
      </w:r>
      <w:proofErr w:type="spellEnd"/>
      <w:r w:rsidRPr="00FF633C">
        <w:rPr>
          <w:color w:val="000000"/>
          <w:sz w:val="28"/>
          <w:szCs w:val="28"/>
        </w:rPr>
        <w:t xml:space="preserve"> радою </w:t>
      </w:r>
      <w:proofErr w:type="spellStart"/>
      <w:r w:rsidRPr="00FF633C">
        <w:rPr>
          <w:color w:val="000000"/>
          <w:sz w:val="28"/>
          <w:szCs w:val="28"/>
        </w:rPr>
        <w:t>ведеться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претензійно</w:t>
      </w:r>
      <w:proofErr w:type="spellEnd"/>
      <w:r w:rsidRPr="00FF633C">
        <w:rPr>
          <w:color w:val="000000"/>
          <w:sz w:val="28"/>
          <w:szCs w:val="28"/>
        </w:rPr>
        <w:t xml:space="preserve"> – </w:t>
      </w:r>
      <w:proofErr w:type="spellStart"/>
      <w:r w:rsidRPr="00FF633C">
        <w:rPr>
          <w:color w:val="000000"/>
          <w:sz w:val="28"/>
          <w:szCs w:val="28"/>
        </w:rPr>
        <w:t>позовна</w:t>
      </w:r>
      <w:proofErr w:type="spellEnd"/>
      <w:r w:rsidRPr="00FF633C">
        <w:rPr>
          <w:color w:val="000000"/>
          <w:sz w:val="28"/>
          <w:szCs w:val="28"/>
        </w:rPr>
        <w:t xml:space="preserve"> робота з </w:t>
      </w:r>
      <w:proofErr w:type="spellStart"/>
      <w:r w:rsidRPr="00FF633C">
        <w:rPr>
          <w:color w:val="000000"/>
          <w:sz w:val="28"/>
          <w:szCs w:val="28"/>
        </w:rPr>
        <w:t>боржниками</w:t>
      </w:r>
      <w:proofErr w:type="spellEnd"/>
      <w:r w:rsidRPr="00FF633C">
        <w:rPr>
          <w:color w:val="000000"/>
          <w:sz w:val="28"/>
          <w:szCs w:val="28"/>
        </w:rPr>
        <w:t>.</w:t>
      </w:r>
    </w:p>
    <w:p w:rsidR="00FF633C" w:rsidRPr="00FF633C" w:rsidRDefault="00FF633C" w:rsidP="00BE0F86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FF633C">
        <w:rPr>
          <w:color w:val="000000"/>
          <w:sz w:val="28"/>
          <w:szCs w:val="28"/>
          <w:lang w:val="uk-UA"/>
        </w:rPr>
        <w:t xml:space="preserve">ТОВ "БРІЗ СОЛАР" сума боргу 1540119,06 грн. – справа «Про припинення договору оренди земельної ділянки  шляхом його розірвання  та стягнення заборгованості з орендної плати за користування земельною ділянкою» була передана до Господарського суду Одеської області. Рішенням від 30 травня 2022 року позов задоволено в повному обсязі. </w:t>
      </w:r>
    </w:p>
    <w:p w:rsidR="00FF633C" w:rsidRPr="00FF633C" w:rsidRDefault="00FF633C" w:rsidP="00BE0F86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FF633C">
        <w:rPr>
          <w:color w:val="000000"/>
          <w:sz w:val="28"/>
          <w:szCs w:val="28"/>
          <w:lang w:val="uk-UA"/>
        </w:rPr>
        <w:t xml:space="preserve">Відповідно до вимог Закону України ”Про виконавче провадження” направлено від 05.08.2022 року № 04-32/1766  та від 05.08.2022 року </w:t>
      </w:r>
      <w:r w:rsidR="00522E04">
        <w:rPr>
          <w:color w:val="000000"/>
          <w:sz w:val="28"/>
          <w:szCs w:val="28"/>
          <w:lang w:val="uk-UA"/>
        </w:rPr>
        <w:t xml:space="preserve">                </w:t>
      </w:r>
      <w:r w:rsidRPr="00FF633C">
        <w:rPr>
          <w:color w:val="000000"/>
          <w:sz w:val="28"/>
          <w:szCs w:val="28"/>
          <w:lang w:val="uk-UA"/>
        </w:rPr>
        <w:t>№ 04-32/1767 Заяви про відкриття виконавчого провадження до Ананьївської державної виконавчої служби у Подільському районі Одеської області    Південого  міжрегіонального управління     Міністерства  юстиції (м. Одеса) до виконання:</w:t>
      </w:r>
    </w:p>
    <w:p w:rsidR="00FF633C" w:rsidRPr="00FF633C" w:rsidRDefault="00FF633C" w:rsidP="00BE0F86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FF633C">
        <w:rPr>
          <w:color w:val="000000"/>
          <w:sz w:val="28"/>
          <w:szCs w:val="28"/>
        </w:rPr>
        <w:t xml:space="preserve">Наказ про </w:t>
      </w:r>
      <w:proofErr w:type="spellStart"/>
      <w:r w:rsidRPr="00FF633C">
        <w:rPr>
          <w:color w:val="000000"/>
          <w:sz w:val="28"/>
          <w:szCs w:val="28"/>
        </w:rPr>
        <w:t>примусове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виконання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F633C">
        <w:rPr>
          <w:color w:val="000000"/>
          <w:sz w:val="28"/>
          <w:szCs w:val="28"/>
        </w:rPr>
        <w:t>р</w:t>
      </w:r>
      <w:proofErr w:type="gramEnd"/>
      <w:r w:rsidRPr="00FF633C">
        <w:rPr>
          <w:color w:val="000000"/>
          <w:sz w:val="28"/>
          <w:szCs w:val="28"/>
        </w:rPr>
        <w:t>ішення</w:t>
      </w:r>
      <w:proofErr w:type="spellEnd"/>
      <w:r w:rsidRPr="00FF633C">
        <w:rPr>
          <w:color w:val="000000"/>
          <w:sz w:val="28"/>
          <w:szCs w:val="28"/>
        </w:rPr>
        <w:t xml:space="preserve">  №916/3230/21, </w:t>
      </w:r>
      <w:proofErr w:type="spellStart"/>
      <w:r w:rsidRPr="00FF633C">
        <w:rPr>
          <w:color w:val="000000"/>
          <w:sz w:val="28"/>
          <w:szCs w:val="28"/>
        </w:rPr>
        <w:t>виданий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Господарським</w:t>
      </w:r>
      <w:proofErr w:type="spellEnd"/>
      <w:r w:rsidRPr="00FF633C">
        <w:rPr>
          <w:color w:val="000000"/>
          <w:sz w:val="28"/>
          <w:szCs w:val="28"/>
        </w:rPr>
        <w:t xml:space="preserve"> судом </w:t>
      </w:r>
      <w:proofErr w:type="spellStart"/>
      <w:r w:rsidRPr="00FF633C">
        <w:rPr>
          <w:color w:val="000000"/>
          <w:sz w:val="28"/>
          <w:szCs w:val="28"/>
        </w:rPr>
        <w:t>Одеської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області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від</w:t>
      </w:r>
      <w:proofErr w:type="spellEnd"/>
      <w:r w:rsidRPr="00FF633C">
        <w:rPr>
          <w:color w:val="000000"/>
          <w:sz w:val="28"/>
          <w:szCs w:val="28"/>
        </w:rPr>
        <w:t xml:space="preserve"> «11» </w:t>
      </w:r>
      <w:proofErr w:type="spellStart"/>
      <w:r w:rsidRPr="00FF633C">
        <w:rPr>
          <w:color w:val="000000"/>
          <w:sz w:val="28"/>
          <w:szCs w:val="28"/>
        </w:rPr>
        <w:t>липня</w:t>
      </w:r>
      <w:proofErr w:type="spellEnd"/>
      <w:r w:rsidRPr="00FF633C">
        <w:rPr>
          <w:color w:val="000000"/>
          <w:sz w:val="28"/>
          <w:szCs w:val="28"/>
        </w:rPr>
        <w:t xml:space="preserve"> 2022 року </w:t>
      </w:r>
      <w:proofErr w:type="spellStart"/>
      <w:r w:rsidRPr="00FF633C">
        <w:rPr>
          <w:color w:val="000000"/>
          <w:sz w:val="28"/>
          <w:szCs w:val="28"/>
        </w:rPr>
        <w:t>щодо</w:t>
      </w:r>
      <w:proofErr w:type="spellEnd"/>
      <w:r w:rsidRPr="00FF633C">
        <w:rPr>
          <w:color w:val="000000"/>
          <w:sz w:val="28"/>
          <w:szCs w:val="28"/>
        </w:rPr>
        <w:t xml:space="preserve">  </w:t>
      </w:r>
      <w:proofErr w:type="spellStart"/>
      <w:r w:rsidRPr="00FF633C">
        <w:rPr>
          <w:color w:val="000000"/>
          <w:sz w:val="28"/>
          <w:szCs w:val="28"/>
        </w:rPr>
        <w:t>зобовязання</w:t>
      </w:r>
      <w:proofErr w:type="spellEnd"/>
      <w:r w:rsidRPr="00FF633C">
        <w:rPr>
          <w:color w:val="000000"/>
          <w:sz w:val="28"/>
          <w:szCs w:val="28"/>
        </w:rPr>
        <w:t xml:space="preserve"> ТОВ «БРІЗ СОЛАР» (66422</w:t>
      </w:r>
      <w:r w:rsidR="00AD773B">
        <w:rPr>
          <w:color w:val="000000"/>
          <w:sz w:val="28"/>
          <w:szCs w:val="28"/>
          <w:lang w:val="uk-UA"/>
        </w:rPr>
        <w:t>,</w:t>
      </w:r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Одеська</w:t>
      </w:r>
      <w:proofErr w:type="spellEnd"/>
      <w:r w:rsidRPr="00FF633C">
        <w:rPr>
          <w:color w:val="000000"/>
          <w:sz w:val="28"/>
          <w:szCs w:val="28"/>
        </w:rPr>
        <w:t xml:space="preserve"> область, Ананьївський район,  с. Ананьїв </w:t>
      </w:r>
      <w:proofErr w:type="spellStart"/>
      <w:r w:rsidRPr="00FF633C">
        <w:rPr>
          <w:color w:val="000000"/>
          <w:sz w:val="28"/>
          <w:szCs w:val="28"/>
        </w:rPr>
        <w:t>Другий</w:t>
      </w:r>
      <w:proofErr w:type="spellEnd"/>
      <w:r w:rsidRPr="00FF633C">
        <w:rPr>
          <w:color w:val="000000"/>
          <w:sz w:val="28"/>
          <w:szCs w:val="28"/>
        </w:rPr>
        <w:t xml:space="preserve">,  </w:t>
      </w:r>
      <w:proofErr w:type="spellStart"/>
      <w:r w:rsidRPr="00FF633C">
        <w:rPr>
          <w:color w:val="000000"/>
          <w:sz w:val="28"/>
          <w:szCs w:val="28"/>
        </w:rPr>
        <w:t>вул</w:t>
      </w:r>
      <w:proofErr w:type="spellEnd"/>
      <w:r w:rsidRPr="00FF633C">
        <w:rPr>
          <w:color w:val="000000"/>
          <w:sz w:val="28"/>
          <w:szCs w:val="28"/>
        </w:rPr>
        <w:t xml:space="preserve">. </w:t>
      </w:r>
      <w:proofErr w:type="spellStart"/>
      <w:r w:rsidRPr="00FF633C">
        <w:rPr>
          <w:color w:val="000000"/>
          <w:sz w:val="28"/>
          <w:szCs w:val="28"/>
        </w:rPr>
        <w:t>Шевченка</w:t>
      </w:r>
      <w:proofErr w:type="spellEnd"/>
      <w:r w:rsidRPr="00FF633C">
        <w:rPr>
          <w:color w:val="000000"/>
          <w:sz w:val="28"/>
          <w:szCs w:val="28"/>
        </w:rPr>
        <w:t>,  буд. 211</w:t>
      </w:r>
      <w:r w:rsidR="00AD773B">
        <w:rPr>
          <w:color w:val="000000"/>
          <w:sz w:val="28"/>
          <w:szCs w:val="28"/>
          <w:lang w:val="uk-UA"/>
        </w:rPr>
        <w:t xml:space="preserve">, </w:t>
      </w:r>
      <w:r w:rsidRPr="00FF633C">
        <w:rPr>
          <w:color w:val="000000"/>
          <w:sz w:val="28"/>
          <w:szCs w:val="28"/>
        </w:rPr>
        <w:t xml:space="preserve">корпус А), </w:t>
      </w:r>
      <w:proofErr w:type="spellStart"/>
      <w:r w:rsidRPr="00FF633C">
        <w:rPr>
          <w:color w:val="000000"/>
          <w:sz w:val="28"/>
          <w:szCs w:val="28"/>
        </w:rPr>
        <w:t>повернути</w:t>
      </w:r>
      <w:proofErr w:type="spellEnd"/>
      <w:r w:rsidRPr="00FF633C">
        <w:rPr>
          <w:color w:val="000000"/>
          <w:sz w:val="28"/>
          <w:szCs w:val="28"/>
        </w:rPr>
        <w:t xml:space="preserve"> Ананьївській </w:t>
      </w:r>
      <w:proofErr w:type="spellStart"/>
      <w:r w:rsidRPr="00FF633C">
        <w:rPr>
          <w:color w:val="000000"/>
          <w:sz w:val="28"/>
          <w:szCs w:val="28"/>
        </w:rPr>
        <w:t>міській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раді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орендну</w:t>
      </w:r>
      <w:proofErr w:type="spellEnd"/>
      <w:r w:rsidRPr="00FF633C">
        <w:rPr>
          <w:color w:val="000000"/>
          <w:sz w:val="28"/>
          <w:szCs w:val="28"/>
        </w:rPr>
        <w:t xml:space="preserve"> плату за </w:t>
      </w:r>
      <w:proofErr w:type="spellStart"/>
      <w:r w:rsidRPr="00FF633C">
        <w:rPr>
          <w:color w:val="000000"/>
          <w:sz w:val="28"/>
          <w:szCs w:val="28"/>
        </w:rPr>
        <w:t>користування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gramStart"/>
      <w:r w:rsidRPr="00FF633C">
        <w:rPr>
          <w:color w:val="000000"/>
          <w:sz w:val="28"/>
          <w:szCs w:val="28"/>
        </w:rPr>
        <w:t>земельною</w:t>
      </w:r>
      <w:proofErr w:type="gram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ділянкою</w:t>
      </w:r>
      <w:proofErr w:type="spellEnd"/>
      <w:r w:rsidRPr="00FF633C">
        <w:rPr>
          <w:color w:val="000000"/>
          <w:sz w:val="28"/>
          <w:szCs w:val="28"/>
        </w:rPr>
        <w:t>.</w:t>
      </w:r>
    </w:p>
    <w:p w:rsidR="00FF633C" w:rsidRPr="00FF633C" w:rsidRDefault="00FF633C" w:rsidP="00BE0F86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FF633C">
        <w:rPr>
          <w:color w:val="000000"/>
          <w:sz w:val="28"/>
          <w:szCs w:val="28"/>
        </w:rPr>
        <w:t xml:space="preserve">- </w:t>
      </w:r>
      <w:proofErr w:type="gramStart"/>
      <w:r w:rsidRPr="00FF633C">
        <w:rPr>
          <w:color w:val="000000"/>
          <w:sz w:val="28"/>
          <w:szCs w:val="28"/>
        </w:rPr>
        <w:t>ТОВ</w:t>
      </w:r>
      <w:proofErr w:type="gramEnd"/>
      <w:r w:rsidRPr="00FF633C">
        <w:rPr>
          <w:color w:val="000000"/>
          <w:sz w:val="28"/>
          <w:szCs w:val="28"/>
        </w:rPr>
        <w:t xml:space="preserve"> "АНАНЬЇВСЬКА СОНЯЧНА ЕЛЕКТРИЧНА СТАНЦІЯ" сума боргу 935894,62 грн. – </w:t>
      </w:r>
      <w:proofErr w:type="spellStart"/>
      <w:r w:rsidRPr="00FF633C">
        <w:rPr>
          <w:color w:val="000000"/>
          <w:sz w:val="28"/>
          <w:szCs w:val="28"/>
        </w:rPr>
        <w:t>платник</w:t>
      </w:r>
      <w:proofErr w:type="spellEnd"/>
      <w:r w:rsidRPr="00FF633C">
        <w:rPr>
          <w:color w:val="000000"/>
          <w:sz w:val="28"/>
          <w:szCs w:val="28"/>
        </w:rPr>
        <w:t xml:space="preserve"> в </w:t>
      </w:r>
      <w:proofErr w:type="spellStart"/>
      <w:r w:rsidRPr="00FF633C">
        <w:rPr>
          <w:color w:val="000000"/>
          <w:sz w:val="28"/>
          <w:szCs w:val="28"/>
        </w:rPr>
        <w:t>стані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припинення</w:t>
      </w:r>
      <w:proofErr w:type="spellEnd"/>
      <w:r w:rsidRPr="00FF633C">
        <w:rPr>
          <w:color w:val="000000"/>
          <w:sz w:val="28"/>
          <w:szCs w:val="28"/>
        </w:rPr>
        <w:t xml:space="preserve"> з 202</w:t>
      </w:r>
      <w:r w:rsidR="00AD773B">
        <w:rPr>
          <w:color w:val="000000"/>
          <w:sz w:val="28"/>
          <w:szCs w:val="28"/>
        </w:rPr>
        <w:t>1 р</w:t>
      </w:r>
      <w:r w:rsidR="00AD773B">
        <w:rPr>
          <w:color w:val="000000"/>
          <w:sz w:val="28"/>
          <w:szCs w:val="28"/>
          <w:lang w:val="uk-UA"/>
        </w:rPr>
        <w:t>оку.</w:t>
      </w:r>
      <w:r w:rsidRPr="00FF633C">
        <w:rPr>
          <w:color w:val="000000"/>
          <w:sz w:val="28"/>
          <w:szCs w:val="28"/>
        </w:rPr>
        <w:t xml:space="preserve"> 01.07.2021 </w:t>
      </w:r>
      <w:r w:rsidR="00AD773B">
        <w:rPr>
          <w:color w:val="000000"/>
          <w:sz w:val="28"/>
          <w:szCs w:val="28"/>
          <w:lang w:val="uk-UA"/>
        </w:rPr>
        <w:t xml:space="preserve">року </w:t>
      </w:r>
      <w:proofErr w:type="spellStart"/>
      <w:r w:rsidRPr="00FF633C">
        <w:rPr>
          <w:color w:val="000000"/>
          <w:sz w:val="28"/>
          <w:szCs w:val="28"/>
        </w:rPr>
        <w:t>надіслано</w:t>
      </w:r>
      <w:proofErr w:type="spellEnd"/>
      <w:r w:rsidRPr="00FF633C">
        <w:rPr>
          <w:color w:val="000000"/>
          <w:sz w:val="28"/>
          <w:szCs w:val="28"/>
        </w:rPr>
        <w:t xml:space="preserve">  </w:t>
      </w:r>
      <w:proofErr w:type="spellStart"/>
      <w:r w:rsidRPr="00FF633C">
        <w:rPr>
          <w:color w:val="000000"/>
          <w:sz w:val="28"/>
          <w:szCs w:val="28"/>
        </w:rPr>
        <w:t>претензію</w:t>
      </w:r>
      <w:proofErr w:type="spellEnd"/>
      <w:r w:rsidRPr="00FF633C">
        <w:rPr>
          <w:color w:val="000000"/>
          <w:sz w:val="28"/>
          <w:szCs w:val="28"/>
        </w:rPr>
        <w:t xml:space="preserve">, </w:t>
      </w:r>
      <w:proofErr w:type="spellStart"/>
      <w:r w:rsidRPr="00FF633C">
        <w:rPr>
          <w:color w:val="000000"/>
          <w:sz w:val="28"/>
          <w:szCs w:val="28"/>
        </w:rPr>
        <w:t>щодо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стягнення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заборгованості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зі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сплати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орендної</w:t>
      </w:r>
      <w:proofErr w:type="spellEnd"/>
      <w:r w:rsidRPr="00FF633C">
        <w:rPr>
          <w:color w:val="000000"/>
          <w:sz w:val="28"/>
          <w:szCs w:val="28"/>
        </w:rPr>
        <w:t xml:space="preserve"> плати за землю за договором </w:t>
      </w:r>
      <w:proofErr w:type="spellStart"/>
      <w:r w:rsidRPr="00FF633C">
        <w:rPr>
          <w:color w:val="000000"/>
          <w:sz w:val="28"/>
          <w:szCs w:val="28"/>
        </w:rPr>
        <w:t>оренди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земельної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ділянки</w:t>
      </w:r>
      <w:proofErr w:type="spellEnd"/>
      <w:r w:rsidRPr="00FF633C">
        <w:rPr>
          <w:color w:val="000000"/>
          <w:sz w:val="28"/>
          <w:szCs w:val="28"/>
        </w:rPr>
        <w:t xml:space="preserve">. </w:t>
      </w:r>
    </w:p>
    <w:p w:rsidR="00FF633C" w:rsidRPr="00FF633C" w:rsidRDefault="00FF633C" w:rsidP="00BE0F86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FF633C">
        <w:rPr>
          <w:color w:val="000000"/>
          <w:sz w:val="28"/>
          <w:szCs w:val="28"/>
        </w:rPr>
        <w:t xml:space="preserve">Справа за </w:t>
      </w:r>
      <w:proofErr w:type="spellStart"/>
      <w:r w:rsidRPr="00FF633C">
        <w:rPr>
          <w:color w:val="000000"/>
          <w:sz w:val="28"/>
          <w:szCs w:val="28"/>
        </w:rPr>
        <w:t>позовом</w:t>
      </w:r>
      <w:proofErr w:type="spellEnd"/>
      <w:r w:rsidRPr="00FF633C">
        <w:rPr>
          <w:color w:val="000000"/>
          <w:sz w:val="28"/>
          <w:szCs w:val="28"/>
        </w:rPr>
        <w:t xml:space="preserve">  Головного </w:t>
      </w:r>
      <w:proofErr w:type="spellStart"/>
      <w:r w:rsidRPr="00FF633C">
        <w:rPr>
          <w:color w:val="000000"/>
          <w:sz w:val="28"/>
          <w:szCs w:val="28"/>
        </w:rPr>
        <w:t>управління</w:t>
      </w:r>
      <w:proofErr w:type="spellEnd"/>
      <w:r w:rsidRPr="00FF633C">
        <w:rPr>
          <w:color w:val="000000"/>
          <w:sz w:val="28"/>
          <w:szCs w:val="28"/>
        </w:rPr>
        <w:t xml:space="preserve"> ДПС в </w:t>
      </w:r>
      <w:proofErr w:type="spellStart"/>
      <w:r w:rsidRPr="00FF633C">
        <w:rPr>
          <w:color w:val="000000"/>
          <w:sz w:val="28"/>
          <w:szCs w:val="28"/>
        </w:rPr>
        <w:t>Одеській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області</w:t>
      </w:r>
      <w:proofErr w:type="spellEnd"/>
      <w:r w:rsidRPr="00FF633C">
        <w:rPr>
          <w:color w:val="000000"/>
          <w:sz w:val="28"/>
          <w:szCs w:val="28"/>
        </w:rPr>
        <w:t xml:space="preserve"> до </w:t>
      </w:r>
      <w:proofErr w:type="gramStart"/>
      <w:r w:rsidRPr="00FF633C">
        <w:rPr>
          <w:color w:val="000000"/>
          <w:sz w:val="28"/>
          <w:szCs w:val="28"/>
        </w:rPr>
        <w:t>ТОВ</w:t>
      </w:r>
      <w:proofErr w:type="gramEnd"/>
      <w:r w:rsidRPr="00FF633C">
        <w:rPr>
          <w:color w:val="000000"/>
          <w:sz w:val="28"/>
          <w:szCs w:val="28"/>
        </w:rPr>
        <w:t xml:space="preserve"> «Ананьївська </w:t>
      </w:r>
      <w:proofErr w:type="spellStart"/>
      <w:r w:rsidRPr="00FF633C">
        <w:rPr>
          <w:color w:val="000000"/>
          <w:sz w:val="28"/>
          <w:szCs w:val="28"/>
        </w:rPr>
        <w:t>сонячна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електрична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станція</w:t>
      </w:r>
      <w:proofErr w:type="spellEnd"/>
      <w:r w:rsidRPr="00FF633C">
        <w:rPr>
          <w:color w:val="000000"/>
          <w:sz w:val="28"/>
          <w:szCs w:val="28"/>
        </w:rPr>
        <w:t xml:space="preserve">» про </w:t>
      </w:r>
      <w:proofErr w:type="spellStart"/>
      <w:r w:rsidRPr="00FF633C">
        <w:rPr>
          <w:color w:val="000000"/>
          <w:sz w:val="28"/>
          <w:szCs w:val="28"/>
        </w:rPr>
        <w:t>стягнення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податкового</w:t>
      </w:r>
      <w:proofErr w:type="spellEnd"/>
      <w:r w:rsidRPr="00FF633C">
        <w:rPr>
          <w:color w:val="000000"/>
          <w:sz w:val="28"/>
          <w:szCs w:val="28"/>
        </w:rPr>
        <w:t xml:space="preserve"> боргу </w:t>
      </w:r>
      <w:proofErr w:type="spellStart"/>
      <w:r w:rsidRPr="00FF633C">
        <w:rPr>
          <w:color w:val="000000"/>
          <w:sz w:val="28"/>
          <w:szCs w:val="28"/>
        </w:rPr>
        <w:t>знаходилась</w:t>
      </w:r>
      <w:proofErr w:type="spellEnd"/>
      <w:r w:rsidRPr="00FF633C">
        <w:rPr>
          <w:color w:val="000000"/>
          <w:sz w:val="28"/>
          <w:szCs w:val="28"/>
        </w:rPr>
        <w:t xml:space="preserve"> на </w:t>
      </w:r>
      <w:proofErr w:type="spellStart"/>
      <w:r w:rsidRPr="00FF633C">
        <w:rPr>
          <w:color w:val="000000"/>
          <w:sz w:val="28"/>
          <w:szCs w:val="28"/>
        </w:rPr>
        <w:t>розгляді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Адміністративного</w:t>
      </w:r>
      <w:proofErr w:type="spellEnd"/>
      <w:r w:rsidRPr="00FF633C">
        <w:rPr>
          <w:color w:val="000000"/>
          <w:sz w:val="28"/>
          <w:szCs w:val="28"/>
        </w:rPr>
        <w:t xml:space="preserve"> суду </w:t>
      </w:r>
      <w:proofErr w:type="spellStart"/>
      <w:r w:rsidRPr="00FF633C">
        <w:rPr>
          <w:color w:val="000000"/>
          <w:sz w:val="28"/>
          <w:szCs w:val="28"/>
        </w:rPr>
        <w:t>Одеської</w:t>
      </w:r>
      <w:proofErr w:type="spellEnd"/>
      <w:r w:rsidRPr="00FF633C">
        <w:rPr>
          <w:color w:val="000000"/>
          <w:sz w:val="28"/>
          <w:szCs w:val="28"/>
        </w:rPr>
        <w:t xml:space="preserve"> </w:t>
      </w:r>
      <w:proofErr w:type="spellStart"/>
      <w:r w:rsidRPr="00FF633C">
        <w:rPr>
          <w:color w:val="000000"/>
          <w:sz w:val="28"/>
          <w:szCs w:val="28"/>
        </w:rPr>
        <w:t>області</w:t>
      </w:r>
      <w:proofErr w:type="spellEnd"/>
      <w:r w:rsidRPr="00FF633C">
        <w:rPr>
          <w:color w:val="000000"/>
          <w:sz w:val="28"/>
          <w:szCs w:val="28"/>
        </w:rPr>
        <w:t>.</w:t>
      </w:r>
    </w:p>
    <w:p w:rsidR="00FF633C" w:rsidRPr="00FF633C" w:rsidRDefault="00FF633C" w:rsidP="00BE0F86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color w:val="000000"/>
          <w:sz w:val="28"/>
          <w:szCs w:val="28"/>
          <w:lang w:val="uk-UA"/>
        </w:rPr>
        <w:t xml:space="preserve">Ухвалою Адміністративного суду Одеської області від 21 липня 2021 року провадження в адміністративній справі №420/12911/20 </w:t>
      </w:r>
      <w:proofErr w:type="spellStart"/>
      <w:r w:rsidRPr="00FF633C">
        <w:rPr>
          <w:color w:val="000000"/>
          <w:sz w:val="28"/>
          <w:szCs w:val="28"/>
          <w:lang w:val="uk-UA"/>
        </w:rPr>
        <w:t>зупинено</w:t>
      </w:r>
      <w:proofErr w:type="spellEnd"/>
      <w:r w:rsidRPr="00FF633C">
        <w:rPr>
          <w:color w:val="000000"/>
          <w:sz w:val="28"/>
          <w:szCs w:val="28"/>
          <w:lang w:val="uk-UA"/>
        </w:rPr>
        <w:t xml:space="preserve"> на підставі     п. 6 ч. 2 ст. 236 КАС України – «направлення судового доручення щодо збирання доказів - до надходження ухвали суду, який виконував доручення, про виконання доручення або неможливість виконання доручення».</w:t>
      </w:r>
      <w:r w:rsidRPr="00FF633C">
        <w:rPr>
          <w:sz w:val="28"/>
          <w:szCs w:val="28"/>
          <w:lang w:val="uk-UA"/>
        </w:rPr>
        <w:t xml:space="preserve"> </w:t>
      </w:r>
    </w:p>
    <w:p w:rsidR="00FF633C" w:rsidRPr="00FF633C" w:rsidRDefault="00FF633C" w:rsidP="00FF633C">
      <w:pPr>
        <w:jc w:val="both"/>
        <w:rPr>
          <w:b/>
          <w:spacing w:val="-2"/>
          <w:sz w:val="28"/>
          <w:szCs w:val="28"/>
          <w:highlight w:val="yellow"/>
          <w:lang w:val="uk-UA"/>
        </w:rPr>
      </w:pPr>
    </w:p>
    <w:p w:rsidR="00FF633C" w:rsidRPr="00FF633C" w:rsidRDefault="00FF633C" w:rsidP="00FF633C">
      <w:pPr>
        <w:ind w:firstLine="540"/>
        <w:rPr>
          <w:b/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І</w:t>
      </w:r>
      <w:r w:rsidRPr="00FF633C">
        <w:rPr>
          <w:b/>
          <w:sz w:val="28"/>
          <w:szCs w:val="28"/>
          <w:lang w:val="en-US"/>
        </w:rPr>
        <w:t>I</w:t>
      </w:r>
      <w:r w:rsidRPr="00FF633C">
        <w:rPr>
          <w:b/>
          <w:sz w:val="28"/>
          <w:szCs w:val="28"/>
          <w:lang w:val="uk-UA"/>
        </w:rPr>
        <w:t>. Видатки та заборгованість</w:t>
      </w:r>
    </w:p>
    <w:p w:rsidR="00FF633C" w:rsidRPr="00FF633C" w:rsidRDefault="00FF633C" w:rsidP="00FF633C">
      <w:pPr>
        <w:jc w:val="both"/>
        <w:rPr>
          <w:b/>
          <w:spacing w:val="-2"/>
          <w:sz w:val="28"/>
          <w:szCs w:val="28"/>
          <w:lang w:val="uk-UA"/>
        </w:rPr>
      </w:pPr>
    </w:p>
    <w:p w:rsidR="00FF633C" w:rsidRPr="00FF633C" w:rsidRDefault="00FF633C" w:rsidP="00FF633C">
      <w:pPr>
        <w:ind w:firstLine="540"/>
        <w:jc w:val="both"/>
        <w:rPr>
          <w:b/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Бюджет Ананьївської міської територіальної громади за 2023 рік по</w:t>
      </w:r>
      <w:r w:rsidRPr="00FF633C">
        <w:rPr>
          <w:sz w:val="28"/>
          <w:szCs w:val="28"/>
          <w:lang w:val="uk-UA"/>
        </w:rPr>
        <w:t xml:space="preserve"> </w:t>
      </w:r>
      <w:r w:rsidRPr="00FF633C">
        <w:rPr>
          <w:b/>
          <w:sz w:val="28"/>
          <w:szCs w:val="28"/>
          <w:lang w:val="uk-UA"/>
        </w:rPr>
        <w:t>загальному фонду</w:t>
      </w:r>
      <w:r w:rsidRPr="00FF633C">
        <w:rPr>
          <w:sz w:val="28"/>
          <w:szCs w:val="28"/>
          <w:lang w:val="uk-UA"/>
        </w:rPr>
        <w:t xml:space="preserve"> виконано на 92,2%  до затвердженого плану з </w:t>
      </w:r>
      <w:r w:rsidRPr="00FF633C">
        <w:rPr>
          <w:sz w:val="28"/>
          <w:szCs w:val="28"/>
          <w:lang w:val="uk-UA"/>
        </w:rPr>
        <w:lastRenderedPageBreak/>
        <w:t>урахув</w:t>
      </w:r>
      <w:r w:rsidR="00A435B6">
        <w:rPr>
          <w:sz w:val="28"/>
          <w:szCs w:val="28"/>
          <w:lang w:val="uk-UA"/>
        </w:rPr>
        <w:t xml:space="preserve">анням змін, або на 16466,9 </w:t>
      </w:r>
      <w:proofErr w:type="spellStart"/>
      <w:r w:rsidR="00A435B6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 менше затвердж</w:t>
      </w:r>
      <w:r w:rsidR="00344187">
        <w:rPr>
          <w:sz w:val="28"/>
          <w:szCs w:val="28"/>
          <w:lang w:val="uk-UA"/>
        </w:rPr>
        <w:t xml:space="preserve">еного плану (план 209795,1 </w:t>
      </w:r>
      <w:proofErr w:type="spellStart"/>
      <w:r w:rsidR="00344187">
        <w:rPr>
          <w:sz w:val="28"/>
          <w:szCs w:val="28"/>
          <w:lang w:val="uk-UA"/>
        </w:rPr>
        <w:t>тис.грн</w:t>
      </w:r>
      <w:proofErr w:type="spellEnd"/>
      <w:r w:rsidR="00344187">
        <w:rPr>
          <w:sz w:val="28"/>
          <w:szCs w:val="28"/>
          <w:lang w:val="uk-UA"/>
        </w:rPr>
        <w:t xml:space="preserve">., виконання 193328,2 </w:t>
      </w:r>
      <w:proofErr w:type="spellStart"/>
      <w:r w:rsidR="00344187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). </w:t>
      </w:r>
    </w:p>
    <w:p w:rsidR="00FF633C" w:rsidRPr="00FF633C" w:rsidRDefault="00FF633C" w:rsidP="009F73F7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Виконання видатків загального фонду бюджету в розрізі галузей</w:t>
      </w:r>
      <w:r w:rsidR="0006776C">
        <w:rPr>
          <w:sz w:val="28"/>
          <w:szCs w:val="28"/>
          <w:lang w:val="uk-UA"/>
        </w:rPr>
        <w:t xml:space="preserve"> характеризується такими даними</w:t>
      </w:r>
      <w:r w:rsidRPr="00FF633C">
        <w:rPr>
          <w:sz w:val="28"/>
          <w:szCs w:val="28"/>
          <w:lang w:val="uk-UA"/>
        </w:rPr>
        <w:t xml:space="preserve">:    </w:t>
      </w:r>
    </w:p>
    <w:p w:rsidR="00FF633C" w:rsidRPr="00FF633C" w:rsidRDefault="00FF633C" w:rsidP="00FF633C">
      <w:pPr>
        <w:ind w:firstLine="708"/>
        <w:jc w:val="right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559"/>
        <w:gridCol w:w="1134"/>
        <w:gridCol w:w="1134"/>
        <w:gridCol w:w="1134"/>
      </w:tblGrid>
      <w:tr w:rsidR="00FF633C" w:rsidRPr="00FF633C" w:rsidTr="0064340C">
        <w:trPr>
          <w:trHeight w:val="10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b/>
                <w:lang w:val="uk-UA"/>
              </w:rPr>
            </w:pPr>
            <w:r w:rsidRPr="00FF633C">
              <w:rPr>
                <w:b/>
                <w:lang w:val="uk-UA"/>
              </w:rPr>
              <w:t>Найменування галузі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b/>
                <w:lang w:val="uk-UA"/>
              </w:rPr>
            </w:pPr>
            <w:r w:rsidRPr="00FF633C">
              <w:rPr>
                <w:b/>
                <w:lang w:val="uk-UA"/>
              </w:rPr>
              <w:t>Затверджено план на    2023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b/>
                <w:lang w:val="uk-UA"/>
              </w:rPr>
            </w:pPr>
            <w:r w:rsidRPr="00FF633C">
              <w:rPr>
                <w:b/>
                <w:lang w:val="uk-UA"/>
              </w:rPr>
              <w:t>Фактично виконано за  2023 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b/>
                <w:lang w:val="uk-UA"/>
              </w:rPr>
            </w:pPr>
            <w:r w:rsidRPr="00FF633C">
              <w:rPr>
                <w:b/>
                <w:lang w:val="uk-UA"/>
              </w:rPr>
              <w:t>Питома вага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b/>
                <w:lang w:val="uk-UA"/>
              </w:rPr>
            </w:pPr>
            <w:r w:rsidRPr="00FF633C">
              <w:rPr>
                <w:b/>
                <w:lang w:val="uk-UA"/>
              </w:rPr>
              <w:t xml:space="preserve">Відхилення від </w:t>
            </w:r>
          </w:p>
          <w:p w:rsidR="00FF633C" w:rsidRPr="00FF633C" w:rsidRDefault="00FF633C" w:rsidP="00FF633C">
            <w:pPr>
              <w:snapToGrid w:val="0"/>
              <w:jc w:val="center"/>
              <w:rPr>
                <w:b/>
                <w:lang w:val="uk-UA"/>
              </w:rPr>
            </w:pPr>
            <w:r w:rsidRPr="00FF633C">
              <w:rPr>
                <w:b/>
                <w:lang w:val="uk-UA"/>
              </w:rPr>
              <w:t>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b/>
                <w:lang w:val="uk-UA"/>
              </w:rPr>
            </w:pPr>
            <w:r w:rsidRPr="00FF633C">
              <w:rPr>
                <w:b/>
                <w:lang w:val="uk-UA"/>
              </w:rPr>
              <w:t>% виконання плану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Державне управління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27036,1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26343,5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692,6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97,4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Освіта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124814,9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116450,9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8364,0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93,3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 xml:space="preserve">Охорона </w:t>
            </w:r>
            <w:proofErr w:type="spellStart"/>
            <w:r w:rsidRPr="00FF633C">
              <w:rPr>
                <w:sz w:val="25"/>
                <w:szCs w:val="25"/>
                <w:lang w:val="uk-UA"/>
              </w:rPr>
              <w:t>здоровꞌя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6114,2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5232,8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881,4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85,6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Соціальний захист та</w:t>
            </w:r>
          </w:p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 xml:space="preserve">соціальне забезпечення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10749,6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9808,8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91,3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Культура і мистецтво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9249,1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8645,9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603,2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93,5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Фізична культура і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1470,9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1346,8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91,6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Житлово-комунальне господарство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19554,3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19022,3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532,0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97,3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Економічна діяльність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2187,4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2038,7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148,7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93,2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Інша діяльність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5253,7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1383,0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3870,7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25,4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0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Міжбюджетні трансферти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3164,9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3055,5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</w:p>
          <w:p w:rsidR="00FF633C" w:rsidRPr="00FF633C" w:rsidRDefault="00FF633C" w:rsidP="00FF633C">
            <w:pPr>
              <w:snapToGrid w:val="0"/>
              <w:jc w:val="center"/>
              <w:rPr>
                <w:sz w:val="25"/>
                <w:szCs w:val="25"/>
                <w:lang w:val="uk-UA"/>
              </w:rPr>
            </w:pPr>
            <w:r w:rsidRPr="00FF633C">
              <w:rPr>
                <w:sz w:val="25"/>
                <w:szCs w:val="25"/>
                <w:lang w:val="uk-UA"/>
              </w:rPr>
              <w:t>96,5</w:t>
            </w:r>
          </w:p>
        </w:tc>
      </w:tr>
      <w:tr w:rsidR="00FF633C" w:rsidRPr="00FF633C" w:rsidTr="0064340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both"/>
              <w:rPr>
                <w:b/>
                <w:sz w:val="26"/>
                <w:szCs w:val="26"/>
                <w:lang w:val="uk-UA"/>
              </w:rPr>
            </w:pPr>
            <w:r w:rsidRPr="00FF633C">
              <w:rPr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FF633C">
              <w:rPr>
                <w:b/>
                <w:sz w:val="26"/>
                <w:szCs w:val="26"/>
                <w:lang w:val="uk-UA"/>
              </w:rPr>
              <w:t>209795,1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FF633C">
              <w:rPr>
                <w:b/>
                <w:sz w:val="26"/>
                <w:szCs w:val="26"/>
                <w:lang w:val="uk-UA"/>
              </w:rPr>
              <w:t>193328,2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3C" w:rsidRPr="00FF633C" w:rsidRDefault="00FF633C" w:rsidP="00FF633C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FF633C">
              <w:rPr>
                <w:b/>
                <w:sz w:val="26"/>
                <w:szCs w:val="26"/>
                <w:lang w:val="uk-U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FF633C">
              <w:rPr>
                <w:b/>
                <w:sz w:val="26"/>
                <w:szCs w:val="26"/>
                <w:lang w:val="uk-UA"/>
              </w:rPr>
              <w:t>16466,9</w:t>
            </w:r>
          </w:p>
          <w:p w:rsidR="00FF633C" w:rsidRPr="00FF633C" w:rsidRDefault="00FF633C" w:rsidP="00FF633C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33C" w:rsidRPr="00FF633C" w:rsidRDefault="00FF633C" w:rsidP="00FF633C">
            <w:pPr>
              <w:snapToGrid w:val="0"/>
              <w:jc w:val="center"/>
              <w:rPr>
                <w:b/>
                <w:sz w:val="26"/>
                <w:szCs w:val="26"/>
                <w:lang w:val="uk-UA"/>
              </w:rPr>
            </w:pPr>
            <w:r w:rsidRPr="00FF633C">
              <w:rPr>
                <w:b/>
                <w:sz w:val="26"/>
                <w:szCs w:val="26"/>
                <w:lang w:val="uk-UA"/>
              </w:rPr>
              <w:t>92,2</w:t>
            </w:r>
          </w:p>
        </w:tc>
      </w:tr>
    </w:tbl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На видатки по бюджету, за кодами економічної класифікації за 2023 рік, направлено 193328,2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з них: на заробітну плату з нарахуванням 133552,3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або 69,1%; на енергоносії 12409,7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або 6,4%; на харчування 4746,5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або 2,5%; на медикаменти 51,9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або 0,1%; на придбання матеріалів, обладнання та інвентаря 8419,6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або 4,4%; на оплату послуг (крім комунальних) 5243,7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або 2,7%  на інші витрати 28904,5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або на 14,95%.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Видатки на утримання  органів місцевого самоврядування</w:t>
      </w:r>
      <w:r w:rsidRPr="00FF633C">
        <w:rPr>
          <w:sz w:val="28"/>
          <w:szCs w:val="28"/>
          <w:lang w:val="uk-UA"/>
        </w:rPr>
        <w:t xml:space="preserve"> по бюджету складають 26343,5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 Питома вага виконання видатків на заробітну плату з нарахуваннями складає 84,1%,  на оплату комунальних послуг та енергоносіїв 5,7%, та на інші видатки 10,2%.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Залишок кошторисних призначень по заробітній платі з</w:t>
      </w:r>
      <w:r w:rsidR="00574064">
        <w:rPr>
          <w:sz w:val="28"/>
          <w:szCs w:val="28"/>
          <w:lang w:val="uk-UA"/>
        </w:rPr>
        <w:t xml:space="preserve"> нарахуваннями склав 322,4 </w:t>
      </w:r>
      <w:proofErr w:type="spellStart"/>
      <w:r w:rsidR="00574064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574064">
        <w:rPr>
          <w:sz w:val="28"/>
          <w:szCs w:val="28"/>
          <w:lang w:val="uk-UA"/>
        </w:rPr>
        <w:t>.,</w:t>
      </w:r>
      <w:r w:rsidRPr="00FF633C">
        <w:rPr>
          <w:sz w:val="28"/>
          <w:szCs w:val="28"/>
          <w:lang w:val="uk-UA"/>
        </w:rPr>
        <w:t xml:space="preserve"> так як фінансові зобов'язання взяті відпо</w:t>
      </w:r>
      <w:r w:rsidR="0006776C">
        <w:rPr>
          <w:sz w:val="28"/>
          <w:szCs w:val="28"/>
          <w:lang w:val="uk-UA"/>
        </w:rPr>
        <w:t>відно до нормативних документів</w:t>
      </w:r>
      <w:r w:rsidRPr="00FF633C">
        <w:rPr>
          <w:sz w:val="28"/>
          <w:szCs w:val="28"/>
          <w:lang w:val="uk-UA"/>
        </w:rPr>
        <w:t>, що регулюють нарахування заробітної, економії нарахувань на заробітну плату на ФОП працюючих інвалідів, відповідно до зареєстрованих зобов'язань проведено фінансування.</w:t>
      </w:r>
    </w:p>
    <w:p w:rsidR="00FF633C" w:rsidRPr="00FF633C" w:rsidRDefault="00FF633C" w:rsidP="0006776C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Залишок кошторисних призначень по оплаті п</w:t>
      </w:r>
      <w:r w:rsidR="0006776C">
        <w:rPr>
          <w:sz w:val="28"/>
          <w:szCs w:val="28"/>
          <w:lang w:val="uk-UA"/>
        </w:rPr>
        <w:t xml:space="preserve">риродного газу склав 184,8 </w:t>
      </w:r>
      <w:proofErr w:type="spellStart"/>
      <w:r w:rsidR="0006776C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 внаслідок проведення заходів з енергозбереження.</w:t>
      </w:r>
    </w:p>
    <w:p w:rsidR="00FF633C" w:rsidRPr="00FF633C" w:rsidRDefault="00FF633C" w:rsidP="0006776C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Залишок кошторисних призначень по оплаті електроенергії  склав </w:t>
      </w:r>
      <w:r w:rsidR="0006776C">
        <w:rPr>
          <w:sz w:val="28"/>
          <w:szCs w:val="28"/>
          <w:lang w:val="uk-UA"/>
        </w:rPr>
        <w:t xml:space="preserve">              </w:t>
      </w:r>
      <w:r w:rsidR="00574064">
        <w:rPr>
          <w:sz w:val="28"/>
          <w:szCs w:val="28"/>
          <w:lang w:val="uk-UA"/>
        </w:rPr>
        <w:t xml:space="preserve">88,6 </w:t>
      </w:r>
      <w:proofErr w:type="spellStart"/>
      <w:r w:rsidR="00574064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574064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внаслідок проведення заходів з енергозбереження.</w:t>
      </w:r>
    </w:p>
    <w:p w:rsidR="00FF633C" w:rsidRPr="00FF633C" w:rsidRDefault="00FF633C" w:rsidP="00FF633C">
      <w:pPr>
        <w:ind w:firstLine="705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lastRenderedPageBreak/>
        <w:t xml:space="preserve">Видатки спеціального фонду (в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 xml:space="preserve">. бюджету розвитку)  по галузі «Державне управління» профінансовані у сумі 77,4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, а саме банер, світловий герб.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 xml:space="preserve">Видатки на утримання установ освіти </w:t>
      </w:r>
      <w:r w:rsidRPr="00FF633C">
        <w:rPr>
          <w:sz w:val="28"/>
          <w:szCs w:val="28"/>
          <w:lang w:val="uk-UA"/>
        </w:rPr>
        <w:t xml:space="preserve">складають 116450,9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 Питома вага виконання видатків на заробітну плату з нарахуваннями складає 83,3 %, на оплату комунальних послуг та енергоносіїв 7,8%,  на продукти харчування 3,6 % та на інші видатки 5,3%. По програмі «Шкільний автобус» проведено видатків на суму 2042,0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 (97,4% до плану).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Видатки загального фонду бюджету на харчування дітей в дитячих дошкільних закладах освіти по загальному фонду проведено на суму 722,6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 Вартість одного </w:t>
      </w:r>
      <w:proofErr w:type="spellStart"/>
      <w:r w:rsidRPr="00FF633C">
        <w:rPr>
          <w:sz w:val="28"/>
          <w:szCs w:val="28"/>
          <w:lang w:val="uk-UA"/>
        </w:rPr>
        <w:t>діто</w:t>
      </w:r>
      <w:proofErr w:type="spellEnd"/>
      <w:r w:rsidRPr="00FF633C">
        <w:rPr>
          <w:sz w:val="28"/>
          <w:szCs w:val="28"/>
          <w:lang w:val="uk-UA"/>
        </w:rPr>
        <w:t>-дня харчування дітей в дитячих дошкільних закладах складає в середньому по району 64,73грн</w:t>
      </w:r>
      <w:r w:rsidR="00574064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(загальний та спеціальний фонд).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Видатки загального фонду на харчування  по загальноосвітніх школах проведено на загальну суму 3527,7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Вартість одного </w:t>
      </w:r>
      <w:proofErr w:type="spellStart"/>
      <w:r w:rsidRPr="00FF633C">
        <w:rPr>
          <w:sz w:val="28"/>
          <w:szCs w:val="28"/>
          <w:lang w:val="uk-UA"/>
        </w:rPr>
        <w:t>діто</w:t>
      </w:r>
      <w:proofErr w:type="spellEnd"/>
      <w:r w:rsidRPr="00FF633C">
        <w:rPr>
          <w:sz w:val="28"/>
          <w:szCs w:val="28"/>
          <w:lang w:val="uk-UA"/>
        </w:rPr>
        <w:t xml:space="preserve">-дня харчування вихованців ЗОШ (1-4 класи, пільгова категорія) склала 31,73 грн, вартість одного </w:t>
      </w:r>
      <w:proofErr w:type="spellStart"/>
      <w:r w:rsidRPr="00FF633C">
        <w:rPr>
          <w:sz w:val="28"/>
          <w:szCs w:val="28"/>
          <w:lang w:val="uk-UA"/>
        </w:rPr>
        <w:t>діто</w:t>
      </w:r>
      <w:proofErr w:type="spellEnd"/>
      <w:r w:rsidRPr="00FF633C">
        <w:rPr>
          <w:sz w:val="28"/>
          <w:szCs w:val="28"/>
          <w:lang w:val="uk-UA"/>
        </w:rPr>
        <w:t>-дня дитини дошкільного віку (дошкільні відділення) склала – 62,11 грн.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Виконання </w:t>
      </w:r>
      <w:proofErr w:type="spellStart"/>
      <w:r w:rsidRPr="00FF633C">
        <w:rPr>
          <w:sz w:val="28"/>
          <w:szCs w:val="28"/>
          <w:lang w:val="uk-UA"/>
        </w:rPr>
        <w:t>діто</w:t>
      </w:r>
      <w:proofErr w:type="spellEnd"/>
      <w:r w:rsidRPr="00FF633C">
        <w:rPr>
          <w:sz w:val="28"/>
          <w:szCs w:val="28"/>
          <w:lang w:val="uk-UA"/>
        </w:rPr>
        <w:t xml:space="preserve">-днів відвідування дітей дошкільного віку за 12 місяців  складає 8,69 </w:t>
      </w:r>
      <w:proofErr w:type="spellStart"/>
      <w:r w:rsidRPr="00FF633C">
        <w:rPr>
          <w:sz w:val="28"/>
          <w:szCs w:val="28"/>
          <w:lang w:val="uk-UA"/>
        </w:rPr>
        <w:t>тис</w:t>
      </w:r>
      <w:r w:rsidR="00574064">
        <w:rPr>
          <w:sz w:val="28"/>
          <w:szCs w:val="28"/>
          <w:lang w:val="uk-UA"/>
        </w:rPr>
        <w:t>.грн</w:t>
      </w:r>
      <w:proofErr w:type="spellEnd"/>
      <w:r w:rsidR="00574064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,  що на 50,03 </w:t>
      </w:r>
      <w:proofErr w:type="spellStart"/>
      <w:r w:rsidRPr="00FF633C">
        <w:rPr>
          <w:sz w:val="28"/>
          <w:szCs w:val="28"/>
          <w:lang w:val="uk-UA"/>
        </w:rPr>
        <w:t>тис.</w:t>
      </w:r>
      <w:r w:rsidR="00574064">
        <w:rPr>
          <w:sz w:val="28"/>
          <w:szCs w:val="28"/>
          <w:lang w:val="uk-UA"/>
        </w:rPr>
        <w:t>грн</w:t>
      </w:r>
      <w:proofErr w:type="spellEnd"/>
      <w:r w:rsidR="00574064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менше плану (хвороба дітей, робота закладів в умовах простою).  Виконання </w:t>
      </w:r>
      <w:proofErr w:type="spellStart"/>
      <w:r w:rsidRPr="00FF633C">
        <w:rPr>
          <w:sz w:val="28"/>
          <w:szCs w:val="28"/>
          <w:lang w:val="uk-UA"/>
        </w:rPr>
        <w:t>діто</w:t>
      </w:r>
      <w:proofErr w:type="spellEnd"/>
      <w:r w:rsidRPr="00FF633C">
        <w:rPr>
          <w:sz w:val="28"/>
          <w:szCs w:val="28"/>
          <w:lang w:val="uk-UA"/>
        </w:rPr>
        <w:t xml:space="preserve">-днів відвідування дітей дошкільного віку в дошкільних відділеннях ЗНЗ складає 12,21 </w:t>
      </w:r>
      <w:proofErr w:type="spellStart"/>
      <w:r w:rsidRPr="00FF633C">
        <w:rPr>
          <w:sz w:val="28"/>
          <w:szCs w:val="28"/>
          <w:lang w:val="uk-UA"/>
        </w:rPr>
        <w:t>тис.</w:t>
      </w:r>
      <w:r w:rsidR="00574064">
        <w:rPr>
          <w:sz w:val="28"/>
          <w:szCs w:val="28"/>
          <w:lang w:val="uk-UA"/>
        </w:rPr>
        <w:t>грн</w:t>
      </w:r>
      <w:proofErr w:type="spellEnd"/>
      <w:r w:rsidR="00574064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, що на 8,46 </w:t>
      </w:r>
      <w:proofErr w:type="spellStart"/>
      <w:r w:rsidRPr="00FF633C">
        <w:rPr>
          <w:sz w:val="28"/>
          <w:szCs w:val="28"/>
          <w:lang w:val="uk-UA"/>
        </w:rPr>
        <w:t>тис.</w:t>
      </w:r>
      <w:r w:rsidR="00574064">
        <w:rPr>
          <w:sz w:val="28"/>
          <w:szCs w:val="28"/>
          <w:lang w:val="uk-UA"/>
        </w:rPr>
        <w:t>грн</w:t>
      </w:r>
      <w:proofErr w:type="spellEnd"/>
      <w:r w:rsidR="00574064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менше запланованих показників (хвороба дітей, робота закладів в умовах простою). По 1-4 класах виконання </w:t>
      </w:r>
      <w:proofErr w:type="spellStart"/>
      <w:r w:rsidRPr="00FF633C">
        <w:rPr>
          <w:sz w:val="28"/>
          <w:szCs w:val="28"/>
          <w:lang w:val="uk-UA"/>
        </w:rPr>
        <w:t>діто</w:t>
      </w:r>
      <w:proofErr w:type="spellEnd"/>
      <w:r w:rsidRPr="00FF633C">
        <w:rPr>
          <w:sz w:val="28"/>
          <w:szCs w:val="28"/>
          <w:lang w:val="uk-UA"/>
        </w:rPr>
        <w:t xml:space="preserve">-днів склало 92,52 </w:t>
      </w:r>
      <w:proofErr w:type="spellStart"/>
      <w:r w:rsidRPr="00FF633C">
        <w:rPr>
          <w:sz w:val="28"/>
          <w:szCs w:val="28"/>
          <w:lang w:val="uk-UA"/>
        </w:rPr>
        <w:t>тис.</w:t>
      </w:r>
      <w:r w:rsidR="00574064">
        <w:rPr>
          <w:sz w:val="28"/>
          <w:szCs w:val="28"/>
          <w:lang w:val="uk-UA"/>
        </w:rPr>
        <w:t>грн</w:t>
      </w:r>
      <w:proofErr w:type="spellEnd"/>
      <w:r w:rsidR="00574064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Залишок кошторисних призначень по продукт</w:t>
      </w:r>
      <w:r w:rsidR="00574064">
        <w:rPr>
          <w:sz w:val="28"/>
          <w:szCs w:val="28"/>
          <w:lang w:val="uk-UA"/>
        </w:rPr>
        <w:t xml:space="preserve">ам харчування склав 1270,0 </w:t>
      </w:r>
      <w:proofErr w:type="spellStart"/>
      <w:r w:rsidR="00574064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574064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, запровадження дистанційної освіти, умови простою, перенесення канікул та зменшення </w:t>
      </w:r>
      <w:proofErr w:type="spellStart"/>
      <w:r w:rsidRPr="00FF633C">
        <w:rPr>
          <w:sz w:val="28"/>
          <w:szCs w:val="28"/>
          <w:lang w:val="uk-UA"/>
        </w:rPr>
        <w:t>діто</w:t>
      </w:r>
      <w:proofErr w:type="spellEnd"/>
      <w:r w:rsidRPr="00FF633C">
        <w:rPr>
          <w:sz w:val="28"/>
          <w:szCs w:val="28"/>
          <w:lang w:val="uk-UA"/>
        </w:rPr>
        <w:t>-днів відвідування закладів освіти.</w:t>
      </w:r>
    </w:p>
    <w:p w:rsidR="00FF633C" w:rsidRPr="00FF633C" w:rsidRDefault="00FF633C" w:rsidP="0077458E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Залишок кошторисних призначень по заробітній платі з </w:t>
      </w:r>
      <w:r w:rsidR="0077458E">
        <w:rPr>
          <w:sz w:val="28"/>
          <w:szCs w:val="28"/>
          <w:lang w:val="uk-UA"/>
        </w:rPr>
        <w:t xml:space="preserve">нарахуваннями склав 3196,1 </w:t>
      </w:r>
      <w:proofErr w:type="spellStart"/>
      <w:r w:rsidR="0077458E">
        <w:rPr>
          <w:sz w:val="28"/>
          <w:szCs w:val="28"/>
          <w:lang w:val="uk-UA"/>
        </w:rPr>
        <w:t>тис</w:t>
      </w:r>
      <w:r w:rsidR="00574064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77458E">
        <w:rPr>
          <w:sz w:val="28"/>
          <w:szCs w:val="28"/>
          <w:lang w:val="uk-UA"/>
        </w:rPr>
        <w:t>.,</w:t>
      </w:r>
      <w:r w:rsidRPr="00FF633C">
        <w:rPr>
          <w:sz w:val="28"/>
          <w:szCs w:val="28"/>
          <w:lang w:val="uk-UA"/>
        </w:rPr>
        <w:t xml:space="preserve"> так як фінансові зобов'язання взяті відпо</w:t>
      </w:r>
      <w:r w:rsidR="0077458E">
        <w:rPr>
          <w:sz w:val="28"/>
          <w:szCs w:val="28"/>
          <w:lang w:val="uk-UA"/>
        </w:rPr>
        <w:t>відно до нормативних документів</w:t>
      </w:r>
      <w:r w:rsidRPr="00FF633C">
        <w:rPr>
          <w:sz w:val="28"/>
          <w:szCs w:val="28"/>
          <w:lang w:val="uk-UA"/>
        </w:rPr>
        <w:t>, що регулюють нарахування заробітної плати в галузі освіти, економії нарахувань на заробітну плату на ФОП працюючих інвалідів, відповідно фінансування проведено згідно зареєстрованих зобов'язань.</w:t>
      </w:r>
    </w:p>
    <w:p w:rsidR="00FF633C" w:rsidRPr="00FF633C" w:rsidRDefault="00FF633C" w:rsidP="0077458E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Залишок кошторисних призначень по оплаті пр</w:t>
      </w:r>
      <w:r w:rsidR="00574064">
        <w:rPr>
          <w:sz w:val="28"/>
          <w:szCs w:val="28"/>
          <w:lang w:val="uk-UA"/>
        </w:rPr>
        <w:t xml:space="preserve">иродного газу склав 2068,8 </w:t>
      </w:r>
      <w:proofErr w:type="spellStart"/>
      <w:r w:rsidR="00574064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 внаслідок проведення заходів з енергозбереження та зменшення ціни на газ для бюджетних установ.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Залишок кошторисних призначень по водопостачанню та водовідведенню  склав 77,7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, по оп</w:t>
      </w:r>
      <w:r w:rsidR="00574064">
        <w:rPr>
          <w:sz w:val="28"/>
          <w:szCs w:val="28"/>
          <w:lang w:val="uk-UA"/>
        </w:rPr>
        <w:t xml:space="preserve">латі електроенергії 1238,7 </w:t>
      </w:r>
      <w:proofErr w:type="spellStart"/>
      <w:r w:rsidR="00574064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., оплаті природного газу 2116,9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оплаті інших енергоносіїв та інших комунальних послуг 144,3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 внаслідок запровадження дистанційної освіти, перенесення канікул, проведення заходів з енергозбереження.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Видатки спеціального фонду (в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 xml:space="preserve">. бюджету розвитку)  по галузі «Освіта» профінансовані у сумі 3510,3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а саме: шкільний автобус </w:t>
      </w:r>
      <w:proofErr w:type="spellStart"/>
      <w:r w:rsidRPr="00FF633C">
        <w:rPr>
          <w:sz w:val="28"/>
          <w:szCs w:val="28"/>
          <w:lang w:val="uk-UA"/>
        </w:rPr>
        <w:t>Жеребківський</w:t>
      </w:r>
      <w:proofErr w:type="spellEnd"/>
      <w:r w:rsidRPr="00FF633C">
        <w:rPr>
          <w:sz w:val="28"/>
          <w:szCs w:val="28"/>
          <w:lang w:val="uk-UA"/>
        </w:rPr>
        <w:t xml:space="preserve"> ліцей, електрична плита </w:t>
      </w:r>
      <w:proofErr w:type="spellStart"/>
      <w:r w:rsidRPr="00FF633C">
        <w:rPr>
          <w:sz w:val="28"/>
          <w:szCs w:val="28"/>
          <w:lang w:val="uk-UA"/>
        </w:rPr>
        <w:t>Жеребківський</w:t>
      </w:r>
      <w:proofErr w:type="spellEnd"/>
      <w:r w:rsidRPr="00FF633C">
        <w:rPr>
          <w:sz w:val="28"/>
          <w:szCs w:val="28"/>
          <w:lang w:val="uk-UA"/>
        </w:rPr>
        <w:t xml:space="preserve"> ліцей, електрична плита Ліцей </w:t>
      </w:r>
      <w:r w:rsidR="00574064">
        <w:rPr>
          <w:sz w:val="28"/>
          <w:szCs w:val="28"/>
          <w:lang w:val="uk-UA"/>
        </w:rPr>
        <w:t>№</w:t>
      </w:r>
      <w:r w:rsidRPr="00FF633C">
        <w:rPr>
          <w:sz w:val="28"/>
          <w:szCs w:val="28"/>
          <w:lang w:val="uk-UA"/>
        </w:rPr>
        <w:t xml:space="preserve">2, газовий котел Ліцей </w:t>
      </w:r>
      <w:r w:rsidR="00574064">
        <w:rPr>
          <w:sz w:val="28"/>
          <w:szCs w:val="28"/>
          <w:lang w:val="uk-UA"/>
        </w:rPr>
        <w:t>№</w:t>
      </w:r>
      <w:r w:rsidRPr="00FF633C">
        <w:rPr>
          <w:sz w:val="28"/>
          <w:szCs w:val="28"/>
          <w:lang w:val="uk-UA"/>
        </w:rPr>
        <w:t>1.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lastRenderedPageBreak/>
        <w:t xml:space="preserve">Протягом 2023 року проводились видатки за місцевою цільовою Програмою «Шкільний автобус на 2021-2023 роки» на суму 5291,5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а саме: утримання шкільних автобусів, для перевезення дітей, що проживають у сільській місцевості – 2041,9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; придбання шкільного автобусу – 3249,6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77458E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</w:t>
      </w:r>
      <w:proofErr w:type="spellStart"/>
      <w:r w:rsidRPr="00FF633C">
        <w:rPr>
          <w:sz w:val="28"/>
          <w:szCs w:val="28"/>
          <w:lang w:val="uk-UA"/>
        </w:rPr>
        <w:t>Жеребківський</w:t>
      </w:r>
      <w:proofErr w:type="spellEnd"/>
      <w:r w:rsidRPr="00FF633C">
        <w:rPr>
          <w:sz w:val="28"/>
          <w:szCs w:val="28"/>
          <w:lang w:val="uk-UA"/>
        </w:rPr>
        <w:t xml:space="preserve"> ліцей).   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 xml:space="preserve">Видатки на утримання установ охорони </w:t>
      </w:r>
      <w:proofErr w:type="spellStart"/>
      <w:r w:rsidRPr="00FF633C">
        <w:rPr>
          <w:b/>
          <w:sz w:val="28"/>
          <w:szCs w:val="28"/>
          <w:lang w:val="uk-UA"/>
        </w:rPr>
        <w:t>здоров</w:t>
      </w:r>
      <w:proofErr w:type="spellEnd"/>
      <w:r w:rsidRPr="00FF633C">
        <w:rPr>
          <w:rFonts w:ascii="Arial" w:hAnsi="Arial" w:cs="Arial"/>
          <w:b/>
          <w:sz w:val="28"/>
          <w:szCs w:val="28"/>
          <w:rtl/>
          <w:lang w:val="uk-UA" w:eastAsia="he-IL" w:bidi="he-IL"/>
        </w:rPr>
        <w:t>׳</w:t>
      </w:r>
      <w:r w:rsidRPr="00FF633C">
        <w:rPr>
          <w:b/>
          <w:sz w:val="28"/>
          <w:szCs w:val="28"/>
          <w:lang w:val="uk-UA"/>
        </w:rPr>
        <w:t>я</w:t>
      </w:r>
      <w:r w:rsidR="006A58C5">
        <w:rPr>
          <w:sz w:val="28"/>
          <w:szCs w:val="28"/>
          <w:lang w:val="uk-UA"/>
        </w:rPr>
        <w:t xml:space="preserve"> виконано на суму 5232,8 </w:t>
      </w:r>
      <w:proofErr w:type="spellStart"/>
      <w:r w:rsidR="006A58C5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. Питома вага виконання видатків на заробітну плату з нарахуваннями складає 3,0% (154,6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), на енергоносії 67,0% (3504,7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6A58C5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) та на інші видатки 30,0 % (1573,5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). 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Протягом 2023 року проводились видатки за місцевими цільовими Програмами: </w:t>
      </w:r>
    </w:p>
    <w:p w:rsidR="00FF633C" w:rsidRPr="00FF633C" w:rsidRDefault="00FF633C" w:rsidP="00FF633C">
      <w:pPr>
        <w:ind w:left="1" w:firstLine="707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Розвитку вторинної медичної допомоги та підтримки КНП «Ананьївська багатопрофільна міська лікарня Ананьївської міської ради» на 2021-2023 роки на суму 3652,4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6A58C5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(фінансова підтримка КНП «Ананьївська багатопрофільна міська лікарня Ананьївської міської ради»);</w:t>
      </w:r>
    </w:p>
    <w:p w:rsidR="00FF633C" w:rsidRPr="00FF633C" w:rsidRDefault="00FF633C" w:rsidP="00FF633C">
      <w:pPr>
        <w:ind w:left="1" w:firstLine="707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Розвитку первинної медико-санітарної допомоги та підтримки Комунального некомерційного підприємства  "Ананьївський центр первинної медико-санітарної допомоги Ананьївської міської ради" на 2021-2023 роки на суму 1580,4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574064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(фінансова підтримка КНП "Ананьївський центр первинної медико-санітарної допомоги Ананьївської міської ради").  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Видатки на соціальний захист та соціальне забезпечення</w:t>
      </w:r>
      <w:r w:rsidRPr="00FF633C">
        <w:rPr>
          <w:sz w:val="28"/>
          <w:szCs w:val="28"/>
          <w:lang w:val="uk-UA"/>
        </w:rPr>
        <w:t xml:space="preserve"> </w:t>
      </w:r>
      <w:r w:rsidRPr="00FF633C">
        <w:rPr>
          <w:b/>
          <w:sz w:val="28"/>
          <w:szCs w:val="28"/>
          <w:lang w:val="uk-UA"/>
        </w:rPr>
        <w:t>бюджету</w:t>
      </w:r>
      <w:r w:rsidRPr="00FF633C">
        <w:rPr>
          <w:sz w:val="28"/>
          <w:szCs w:val="28"/>
          <w:lang w:val="uk-UA"/>
        </w:rPr>
        <w:t xml:space="preserve"> виконані на суму 9808,8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 Питома вага виконання видатків на заробітну плату з нарахуваннями складає 63,5%, на оплату комунальних послуг та </w:t>
      </w:r>
      <w:r w:rsidR="006A58C5" w:rsidRPr="00FF633C">
        <w:rPr>
          <w:sz w:val="28"/>
          <w:szCs w:val="28"/>
          <w:lang w:val="uk-UA"/>
        </w:rPr>
        <w:t>енергоносіїв</w:t>
      </w:r>
      <w:r w:rsidRPr="00FF633C">
        <w:rPr>
          <w:sz w:val="28"/>
          <w:szCs w:val="28"/>
          <w:lang w:val="uk-UA"/>
        </w:rPr>
        <w:t xml:space="preserve"> 5,0%,  на продукти харчування 5,1% та на інші видатки 26,4%.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Залишок кошторисних призначень по заробітній платі </w:t>
      </w:r>
      <w:r w:rsidR="006A58C5">
        <w:rPr>
          <w:sz w:val="28"/>
          <w:szCs w:val="28"/>
          <w:lang w:val="uk-UA"/>
        </w:rPr>
        <w:t xml:space="preserve">з нарахуваннями склав 59,0 </w:t>
      </w:r>
      <w:proofErr w:type="spellStart"/>
      <w:r w:rsidR="006A58C5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6A58C5">
        <w:rPr>
          <w:sz w:val="28"/>
          <w:szCs w:val="28"/>
          <w:lang w:val="uk-UA"/>
        </w:rPr>
        <w:t>.,</w:t>
      </w:r>
      <w:r w:rsidRPr="00FF633C">
        <w:rPr>
          <w:sz w:val="28"/>
          <w:szCs w:val="28"/>
          <w:lang w:val="uk-UA"/>
        </w:rPr>
        <w:t xml:space="preserve"> так як фінансові зобов'язання взяті відповідно до нормативних документів, що регулюють нарахування заробітної плати в галузі соціального захисту, фінансування проведено відповідно до зареєстрованих зобов'язань.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Залишок кошторисних призначень по водопостачанню та водовідведенню  склав 12,2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по </w:t>
      </w:r>
      <w:r w:rsidR="006A58C5">
        <w:rPr>
          <w:sz w:val="28"/>
          <w:szCs w:val="28"/>
          <w:lang w:val="uk-UA"/>
        </w:rPr>
        <w:t xml:space="preserve">оплаті електроенергії 19,7 </w:t>
      </w:r>
      <w:proofErr w:type="spellStart"/>
      <w:r w:rsidR="006A58C5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 xml:space="preserve">, оплаті природного газу 183,7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оплаті інших енергоносіїв та інших комунальних послуг 6,6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 внаслідок проведення заходів з енергозбереження, зменшення ціни на газ для бюджетних установ.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Протягом 2023 року проводились видатки за місцевою цільовою Програмою «Соціальний захист населення Ананьївської міської територіальної громади на 2023-2025 роки» на суму 1934,7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, а саме:</w:t>
      </w:r>
    </w:p>
    <w:p w:rsidR="00FF633C" w:rsidRPr="00FF633C" w:rsidRDefault="00FF633C" w:rsidP="006A58C5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забезпечення надання одноразової матеріальної допомоги -</w:t>
      </w:r>
      <w:r w:rsidR="006A58C5">
        <w:rPr>
          <w:sz w:val="28"/>
          <w:szCs w:val="28"/>
          <w:lang w:val="uk-UA"/>
        </w:rPr>
        <w:t xml:space="preserve">                        </w:t>
      </w:r>
      <w:r w:rsidRPr="00FF633C">
        <w:rPr>
          <w:sz w:val="28"/>
          <w:szCs w:val="28"/>
          <w:lang w:val="uk-UA"/>
        </w:rPr>
        <w:t xml:space="preserve">962,0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</w:t>
      </w:r>
    </w:p>
    <w:p w:rsidR="00FF633C" w:rsidRPr="00FF633C" w:rsidRDefault="00FF633C" w:rsidP="006A58C5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виплата матеріальної допомоги сім'ям військовослужбовців,</w:t>
      </w:r>
      <w:r w:rsidR="006A58C5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 xml:space="preserve">що загинули у військових діях – 600,0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</w:t>
      </w:r>
    </w:p>
    <w:p w:rsidR="00FF633C" w:rsidRPr="00FF633C" w:rsidRDefault="00FF633C" w:rsidP="006A58C5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поховання   померлих    одиноких   громадян,   осіб   без   певного   місця</w:t>
      </w:r>
      <w:r w:rsidR="006A58C5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 xml:space="preserve">проживання, від поховання яких відмовились рідні, і знайдених невпізнаних трупів -15,4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</w:t>
      </w:r>
    </w:p>
    <w:p w:rsidR="00FF633C" w:rsidRPr="00FF633C" w:rsidRDefault="00FF633C" w:rsidP="006A58C5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lastRenderedPageBreak/>
        <w:t xml:space="preserve">- забезпечення двох пунктів видачі гуманітарної допомоги необхідними  засобами, витратними матеріалами та упаковкою – 21,0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</w:t>
      </w:r>
    </w:p>
    <w:p w:rsidR="00FF633C" w:rsidRPr="00FF633C" w:rsidRDefault="00FF633C" w:rsidP="006A58C5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похованням осіб з числа військовослужбовців, які загинули (померли) під час проходження військової служби – 228,4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</w:t>
      </w:r>
    </w:p>
    <w:p w:rsidR="00FF633C" w:rsidRPr="00FF633C" w:rsidRDefault="00FF633C" w:rsidP="006A58C5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забезпечення  надання  пільг  з  послуг  перевезення окреми</w:t>
      </w:r>
      <w:r w:rsidR="00AC7DCE">
        <w:rPr>
          <w:sz w:val="28"/>
          <w:szCs w:val="28"/>
          <w:lang w:val="uk-UA"/>
        </w:rPr>
        <w:t>м</w:t>
      </w:r>
      <w:r w:rsidRPr="00FF633C">
        <w:rPr>
          <w:sz w:val="28"/>
          <w:szCs w:val="28"/>
          <w:lang w:val="uk-UA"/>
        </w:rPr>
        <w:t xml:space="preserve"> категоріям громадян залізничним транспортом згідно чинного законодавства – 46,3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; </w:t>
      </w:r>
    </w:p>
    <w:p w:rsidR="00FF633C" w:rsidRPr="00FF633C" w:rsidRDefault="00FF633C" w:rsidP="006A58C5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забезпечення надання пільг з послуг зв’язку окремим категоріям згідно чинного законодавства – 61,6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Видатки на утримання установ культури</w:t>
      </w:r>
      <w:r w:rsidRPr="00FF633C">
        <w:rPr>
          <w:sz w:val="28"/>
          <w:szCs w:val="28"/>
          <w:lang w:val="uk-UA"/>
        </w:rPr>
        <w:t xml:space="preserve"> загальн</w:t>
      </w:r>
      <w:r w:rsidR="006A58C5">
        <w:rPr>
          <w:sz w:val="28"/>
          <w:szCs w:val="28"/>
          <w:lang w:val="uk-UA"/>
        </w:rPr>
        <w:t xml:space="preserve">ого фонду складають </w:t>
      </w:r>
      <w:r w:rsidR="00AC7DCE">
        <w:rPr>
          <w:sz w:val="28"/>
          <w:szCs w:val="28"/>
          <w:lang w:val="uk-UA"/>
        </w:rPr>
        <w:t xml:space="preserve">- </w:t>
      </w:r>
      <w:r w:rsidR="006A58C5">
        <w:rPr>
          <w:sz w:val="28"/>
          <w:szCs w:val="28"/>
          <w:lang w:val="uk-UA"/>
        </w:rPr>
        <w:t xml:space="preserve">8645,9 </w:t>
      </w:r>
      <w:proofErr w:type="spellStart"/>
      <w:r w:rsidR="006A58C5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6A58C5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>, в тому числі: бібліотеки</w:t>
      </w:r>
      <w:r w:rsidR="006A58C5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 xml:space="preserve">- 4075,3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6A58C5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>, будинки культури</w:t>
      </w:r>
      <w:r w:rsidR="006A58C5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 xml:space="preserve">- 4418,4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інші культурні заходи – 152,2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Питома вага виконання видатків на заробітну плату з нарахуваннями складає </w:t>
      </w:r>
      <w:r w:rsidR="00AC7DCE">
        <w:rPr>
          <w:sz w:val="28"/>
          <w:szCs w:val="28"/>
          <w:lang w:val="uk-UA"/>
        </w:rPr>
        <w:t xml:space="preserve">- </w:t>
      </w:r>
      <w:r w:rsidRPr="00FF633C">
        <w:rPr>
          <w:sz w:val="28"/>
          <w:szCs w:val="28"/>
          <w:lang w:val="uk-UA"/>
        </w:rPr>
        <w:t>79,2</w:t>
      </w:r>
      <w:r w:rsidRPr="00FF633C">
        <w:rPr>
          <w:sz w:val="26"/>
          <w:szCs w:val="26"/>
          <w:lang w:val="uk-UA"/>
        </w:rPr>
        <w:t>%,</w:t>
      </w:r>
      <w:r w:rsidRPr="00FF633C">
        <w:rPr>
          <w:sz w:val="28"/>
          <w:szCs w:val="28"/>
          <w:lang w:val="uk-UA"/>
        </w:rPr>
        <w:t xml:space="preserve"> на оплату комунальних послуг та енергоносіїв </w:t>
      </w:r>
      <w:r w:rsidR="00AC7DCE">
        <w:rPr>
          <w:sz w:val="28"/>
          <w:szCs w:val="28"/>
          <w:lang w:val="uk-UA"/>
        </w:rPr>
        <w:t xml:space="preserve">- </w:t>
      </w:r>
      <w:r w:rsidRPr="00FF633C">
        <w:rPr>
          <w:sz w:val="28"/>
          <w:szCs w:val="28"/>
          <w:lang w:val="uk-UA"/>
        </w:rPr>
        <w:t>10,2</w:t>
      </w:r>
      <w:r w:rsidRPr="00FF633C">
        <w:rPr>
          <w:sz w:val="26"/>
          <w:szCs w:val="26"/>
          <w:lang w:val="uk-UA"/>
        </w:rPr>
        <w:t>%,</w:t>
      </w:r>
      <w:r w:rsidRPr="00FF633C">
        <w:rPr>
          <w:sz w:val="28"/>
          <w:szCs w:val="28"/>
          <w:lang w:val="uk-UA"/>
        </w:rPr>
        <w:t xml:space="preserve"> на інші видатки </w:t>
      </w:r>
      <w:r w:rsidR="00AC7DCE">
        <w:rPr>
          <w:sz w:val="28"/>
          <w:szCs w:val="28"/>
          <w:lang w:val="uk-UA"/>
        </w:rPr>
        <w:t xml:space="preserve">- </w:t>
      </w:r>
      <w:r w:rsidRPr="00FF633C">
        <w:rPr>
          <w:sz w:val="28"/>
          <w:szCs w:val="28"/>
          <w:lang w:val="uk-UA"/>
        </w:rPr>
        <w:t>10,6%.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Залишок кошторисних призначень по заробітній платі з нарахуваннями склав 341,4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6A58C5">
        <w:rPr>
          <w:sz w:val="28"/>
          <w:szCs w:val="28"/>
          <w:lang w:val="uk-UA"/>
        </w:rPr>
        <w:t>.,</w:t>
      </w:r>
      <w:r w:rsidRPr="00FF633C">
        <w:rPr>
          <w:sz w:val="28"/>
          <w:szCs w:val="28"/>
          <w:lang w:val="uk-UA"/>
        </w:rPr>
        <w:t xml:space="preserve"> так як фінансові зобов'язання взяті відповідно до нормативних документів, що регулюють нарахування заробітної плати в галузі культури, економії нарахувань на заробітну плату на ФОП працюючих інвалідів, відповідно фінансування проведено згідно зареєстрованих зобов'язань.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Залишок кошторисних призначень по водопостачанню та водовідведенню  склав 9,8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по оплаті електроенергії 152,3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оплаті природного газу 102,1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оплаті інших енергоносіїв та інших комунальних послуг 614,9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AC7DCE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внаслідок проведення заходів з енергозбереження, зменшення ціни на газ для бюджетних установ.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По програмі «Культура Ананьївської міської територіальної громади» проведено видатків на суму 152,5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а саме: на відзначення державних свят – 25,8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AC7DCE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; конкурсів, дитячих свят – 126,7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Видатки спеціального фонду (в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 xml:space="preserve">. бюджету розвитку)  по галузі «Культура і мистецтво» профінансовані у сумі 99,0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 (придбання кондиціонерів для центрального будинку культури).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Видатки на утримання закладів фізичної культури і спорту</w:t>
      </w:r>
      <w:r w:rsidRPr="00FF633C">
        <w:rPr>
          <w:sz w:val="28"/>
          <w:szCs w:val="28"/>
          <w:lang w:val="uk-UA"/>
        </w:rPr>
        <w:t xml:space="preserve"> загального фонду складають 1346,8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, в тому числі: утримання ДЮСШ</w:t>
      </w:r>
      <w:r w:rsidR="006A58C5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>- 1250,5 тис. грн</w:t>
      </w:r>
      <w:r w:rsidR="00AC7DCE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, проведення спортивних заходів та прийняття участі у спортивних змаганнях – 62,0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заходи з реалізації соціального проекту «Активні парки – локація здорової України» - 34,3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Питома вага виконання видатків на заробітну плату з нарахуваннями складає 71,8</w:t>
      </w:r>
      <w:r w:rsidRPr="00FF633C">
        <w:rPr>
          <w:sz w:val="26"/>
          <w:szCs w:val="26"/>
          <w:lang w:val="uk-UA"/>
        </w:rPr>
        <w:t>%,</w:t>
      </w:r>
      <w:r w:rsidRPr="00FF633C">
        <w:rPr>
          <w:sz w:val="28"/>
          <w:szCs w:val="28"/>
          <w:lang w:val="uk-UA"/>
        </w:rPr>
        <w:t xml:space="preserve"> на оплату комунальних послуг та енергоносіїв 0,4</w:t>
      </w:r>
      <w:r w:rsidRPr="00FF633C">
        <w:rPr>
          <w:sz w:val="26"/>
          <w:szCs w:val="26"/>
          <w:lang w:val="uk-UA"/>
        </w:rPr>
        <w:t>%,</w:t>
      </w:r>
      <w:r w:rsidRPr="00FF633C">
        <w:rPr>
          <w:sz w:val="28"/>
          <w:szCs w:val="28"/>
          <w:lang w:val="uk-UA"/>
        </w:rPr>
        <w:t xml:space="preserve"> на інші видатки 27,8%.</w:t>
      </w:r>
    </w:p>
    <w:p w:rsidR="00FF633C" w:rsidRPr="00FF633C" w:rsidRDefault="00FF633C" w:rsidP="00FF633C">
      <w:pPr>
        <w:ind w:firstLine="708"/>
        <w:jc w:val="both"/>
        <w:rPr>
          <w:sz w:val="26"/>
          <w:szCs w:val="26"/>
          <w:lang w:val="uk-UA"/>
        </w:rPr>
      </w:pPr>
      <w:r w:rsidRPr="00FF633C">
        <w:rPr>
          <w:sz w:val="28"/>
          <w:szCs w:val="28"/>
          <w:lang w:val="uk-UA"/>
        </w:rPr>
        <w:t xml:space="preserve">Залишок кошторисних призначень по заробітній платі з нарахуваннями склав 102,7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6A58C5">
        <w:rPr>
          <w:sz w:val="28"/>
          <w:szCs w:val="28"/>
          <w:lang w:val="uk-UA"/>
        </w:rPr>
        <w:t>.,</w:t>
      </w:r>
      <w:r w:rsidRPr="00FF633C">
        <w:rPr>
          <w:sz w:val="28"/>
          <w:szCs w:val="28"/>
          <w:lang w:val="uk-UA"/>
        </w:rPr>
        <w:t xml:space="preserve"> так як фінансові зобов'язання взяті відповідно до нормативних документів, що регулюють нарахування заробітної плати в галузі фізичної культури і спорту, економії  нарахувань на заробітну плату на </w:t>
      </w:r>
      <w:r w:rsidRPr="00FF633C">
        <w:rPr>
          <w:sz w:val="28"/>
          <w:szCs w:val="28"/>
          <w:lang w:val="uk-UA"/>
        </w:rPr>
        <w:lastRenderedPageBreak/>
        <w:t>ФОП працюючих інвалідів, відповідно фінансування проведено згідно зареєстрованих зобов'язань.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Протягом 2023 року проводились видатки за місцевою цільовою Програмою розвитку фізичної культури і спорту на 2021-2023 роки на суму 62,0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6A58C5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(підвіз дітей на змагання).     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Видатки на житлово-комунальне господарство</w:t>
      </w:r>
      <w:r w:rsidRPr="00FF633C">
        <w:rPr>
          <w:sz w:val="28"/>
          <w:szCs w:val="28"/>
          <w:lang w:val="uk-UA"/>
        </w:rPr>
        <w:t xml:space="preserve"> загального фонду</w:t>
      </w:r>
      <w:r w:rsidRPr="00FF633C">
        <w:rPr>
          <w:b/>
          <w:sz w:val="28"/>
          <w:szCs w:val="28"/>
          <w:lang w:val="uk-UA"/>
        </w:rPr>
        <w:t xml:space="preserve"> </w:t>
      </w:r>
      <w:r w:rsidR="006A58C5">
        <w:rPr>
          <w:sz w:val="28"/>
          <w:szCs w:val="28"/>
          <w:lang w:val="uk-UA"/>
        </w:rPr>
        <w:t xml:space="preserve">виконано на 19022,3  </w:t>
      </w:r>
      <w:proofErr w:type="spellStart"/>
      <w:r w:rsidR="006A58C5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6A58C5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, або 97,3%  до плану в тому числі: </w:t>
      </w:r>
    </w:p>
    <w:p w:rsidR="00FF633C" w:rsidRPr="00FF633C" w:rsidRDefault="00FF633C" w:rsidP="00FF633C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</w:t>
      </w:r>
      <w:r w:rsidR="006A58C5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>фінансова підтримка КП «Ананьїв-водоканал</w:t>
      </w:r>
      <w:r w:rsidR="00AC7DCE">
        <w:rPr>
          <w:sz w:val="28"/>
          <w:szCs w:val="28"/>
          <w:lang w:val="uk-UA"/>
        </w:rPr>
        <w:t xml:space="preserve"> Ананьївської міської ради</w:t>
      </w:r>
      <w:r w:rsidRPr="00FF633C">
        <w:rPr>
          <w:sz w:val="28"/>
          <w:szCs w:val="28"/>
          <w:lang w:val="uk-UA"/>
        </w:rPr>
        <w:t xml:space="preserve">» - 7493,3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6A58C5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 xml:space="preserve">. оплата електроенергії – 3833,8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);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</w:t>
      </w:r>
      <w:r w:rsidR="006A58C5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>фінансова підтримка К</w:t>
      </w:r>
      <w:r w:rsidR="006A58C5">
        <w:rPr>
          <w:sz w:val="28"/>
          <w:szCs w:val="28"/>
          <w:lang w:val="uk-UA"/>
        </w:rPr>
        <w:t>П «Місто</w:t>
      </w:r>
      <w:r w:rsidR="00AC7DCE">
        <w:rPr>
          <w:sz w:val="28"/>
          <w:szCs w:val="28"/>
          <w:lang w:val="uk-UA"/>
        </w:rPr>
        <w:t xml:space="preserve"> С</w:t>
      </w:r>
      <w:r w:rsidR="006A58C5">
        <w:rPr>
          <w:sz w:val="28"/>
          <w:szCs w:val="28"/>
          <w:lang w:val="uk-UA"/>
        </w:rPr>
        <w:t>ервіс</w:t>
      </w:r>
      <w:r w:rsidR="00AC7DCE">
        <w:rPr>
          <w:sz w:val="28"/>
          <w:szCs w:val="28"/>
          <w:lang w:val="uk-UA"/>
        </w:rPr>
        <w:t xml:space="preserve"> Ананьївської міської ради</w:t>
      </w:r>
      <w:r w:rsidR="006A58C5">
        <w:rPr>
          <w:sz w:val="28"/>
          <w:szCs w:val="28"/>
          <w:lang w:val="uk-UA"/>
        </w:rPr>
        <w:t xml:space="preserve">» - 10288,5 </w:t>
      </w:r>
      <w:proofErr w:type="spellStart"/>
      <w:r w:rsidR="006A58C5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AC7DCE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 xml:space="preserve">. оплата вуличного освітлення – 888,2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);</w:t>
      </w:r>
    </w:p>
    <w:p w:rsidR="00FF633C" w:rsidRPr="00FF633C" w:rsidRDefault="00FF633C" w:rsidP="00FF633C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</w:t>
      </w:r>
      <w:r w:rsidR="006A58C5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>благоустрій населених пунктів (придбання урн, лавок, в</w:t>
      </w:r>
      <w:r w:rsidR="00957DFA">
        <w:rPr>
          <w:sz w:val="28"/>
          <w:szCs w:val="28"/>
          <w:lang w:val="uk-UA"/>
        </w:rPr>
        <w:t xml:space="preserve">уличних ліхтарів) – 1240,5 </w:t>
      </w:r>
      <w:proofErr w:type="spellStart"/>
      <w:r w:rsidR="00957DFA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5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Видатки спеціального фонду (в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 xml:space="preserve">. бюджету розвитку)  на житлово-комунальне господарство профінансовані у сумі 42568,3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в тому числі: придбання комунальної техніки (трактора 2шт, </w:t>
      </w:r>
      <w:proofErr w:type="spellStart"/>
      <w:r w:rsidRPr="00FF633C">
        <w:rPr>
          <w:sz w:val="28"/>
          <w:szCs w:val="28"/>
          <w:lang w:val="uk-UA"/>
        </w:rPr>
        <w:t>причіпи</w:t>
      </w:r>
      <w:proofErr w:type="spellEnd"/>
      <w:r w:rsidRPr="00FF633C">
        <w:rPr>
          <w:sz w:val="28"/>
          <w:szCs w:val="28"/>
          <w:lang w:val="uk-UA"/>
        </w:rPr>
        <w:t xml:space="preserve"> 2шт, ківш,</w:t>
      </w:r>
      <w:r w:rsidR="006A58C5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 xml:space="preserve">вила, косарка, навантажувач, подрібнювач, асенізаційна машина, екскаватор) - 12087,0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, глибинні насоси – 697,7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610EE5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>, капітальний р</w:t>
      </w:r>
      <w:r w:rsidR="00610EE5">
        <w:rPr>
          <w:sz w:val="28"/>
          <w:szCs w:val="28"/>
          <w:lang w:val="uk-UA"/>
        </w:rPr>
        <w:t xml:space="preserve">емонт тротуарів  – 18765,4 </w:t>
      </w:r>
      <w:proofErr w:type="spellStart"/>
      <w:r w:rsidR="00610EE5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957DFA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, капітальний ремонт міських, сільських місць поховання - 4270,9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, капітальний ремонт вуличного освітлення – 4616,9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, дитячий ігровий комплекс - 95,0 </w:t>
      </w:r>
      <w:proofErr w:type="spellStart"/>
      <w:r w:rsidRPr="00FF633C">
        <w:rPr>
          <w:sz w:val="28"/>
          <w:szCs w:val="28"/>
          <w:lang w:val="uk-UA"/>
        </w:rPr>
        <w:t>ти</w:t>
      </w:r>
      <w:r w:rsidR="00957DFA">
        <w:rPr>
          <w:sz w:val="28"/>
          <w:szCs w:val="28"/>
          <w:lang w:val="uk-UA"/>
        </w:rPr>
        <w:t>с.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957DFA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>, капітальний ремонт водогону (</w:t>
      </w:r>
      <w:proofErr w:type="spellStart"/>
      <w:r w:rsidRPr="00FF633C">
        <w:rPr>
          <w:sz w:val="28"/>
          <w:szCs w:val="28"/>
          <w:lang w:val="uk-UA"/>
        </w:rPr>
        <w:t>с.Жеребково</w:t>
      </w:r>
      <w:proofErr w:type="spellEnd"/>
      <w:r w:rsidRPr="00FF633C">
        <w:rPr>
          <w:sz w:val="28"/>
          <w:szCs w:val="28"/>
          <w:lang w:val="uk-UA"/>
        </w:rPr>
        <w:t xml:space="preserve">) - 1495,7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, зупинки громадського транспорту – 400,0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Протягом 2023 року проводились видатки за місцевими цільовими програмами: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«Питна вода на 2021-2025 роки» на суму 12395,5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610EE5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(фінансова підтримка КП «Ананьїв-водоканал», придбання спеціалізованої техніки, насосів, проведення капітального ремонту водогону);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«Благоустрій, розвиток та утримання об’єктів житлово-комунального господарства» на суму 49195,1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610EE5">
        <w:rPr>
          <w:sz w:val="28"/>
          <w:szCs w:val="28"/>
          <w:lang w:val="uk-UA"/>
        </w:rPr>
        <w:t>. (фінансова підтримка КП «Місто С</w:t>
      </w:r>
      <w:r w:rsidRPr="00FF633C">
        <w:rPr>
          <w:sz w:val="28"/>
          <w:szCs w:val="28"/>
          <w:lang w:val="uk-UA"/>
        </w:rPr>
        <w:t xml:space="preserve">ервіс»; придбання спеціалізованої техніки, капітальний ремонт доріг, капітальний ремонт вуличного освітлення, капітальний ремонт огорожі кладовищ, капітальний ремонт тротуарів, дахів).   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 xml:space="preserve">Видатки економічної діяльності </w:t>
      </w:r>
      <w:r w:rsidRPr="00FF633C">
        <w:rPr>
          <w:sz w:val="28"/>
          <w:szCs w:val="28"/>
          <w:lang w:val="uk-UA"/>
        </w:rPr>
        <w:t xml:space="preserve">по загальному фонду виконано у сумі 2038,7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610EE5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, в тому числі: на утримання трудового архіву - 361,9 тис. грн; на заходи із землеустрою – 127,8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; на фінансову підтримку КП «Ананьївська друкарня Ананьївської міської ради» – 99,0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; на поточне утримання доріг – 1248,0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 на розвиток мережі це</w:t>
      </w:r>
      <w:r w:rsidR="00610EE5">
        <w:rPr>
          <w:sz w:val="28"/>
          <w:szCs w:val="28"/>
          <w:lang w:val="uk-UA"/>
        </w:rPr>
        <w:t>нтрів надання адміністративних п</w:t>
      </w:r>
      <w:r w:rsidRPr="00FF633C">
        <w:rPr>
          <w:sz w:val="28"/>
          <w:szCs w:val="28"/>
          <w:lang w:val="uk-UA"/>
        </w:rPr>
        <w:t xml:space="preserve">ослуг – 202,0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).</w:t>
      </w:r>
    </w:p>
    <w:p w:rsidR="00FF633C" w:rsidRPr="00FF633C" w:rsidRDefault="00FF633C" w:rsidP="00610EE5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Видатки спеціального фонду (в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 xml:space="preserve">. бюджету розвитку)  по галузі «Економічна діяльність» (капітальний ремонт об’єктів комунальної власності, придбання основних засобів) профінансовані у сумі 31617,9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,</w:t>
      </w:r>
      <w:r w:rsidR="009F3680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>а саме:</w:t>
      </w:r>
      <w:r w:rsidRPr="00FF633C">
        <w:rPr>
          <w:sz w:val="25"/>
          <w:szCs w:val="25"/>
          <w:lang w:val="uk-UA"/>
        </w:rPr>
        <w:t xml:space="preserve"> </w:t>
      </w:r>
      <w:r w:rsidR="00957DFA">
        <w:rPr>
          <w:sz w:val="28"/>
          <w:szCs w:val="28"/>
          <w:lang w:val="uk-UA"/>
        </w:rPr>
        <w:t>к</w:t>
      </w:r>
      <w:r w:rsidRPr="00FF633C">
        <w:rPr>
          <w:sz w:val="28"/>
          <w:szCs w:val="28"/>
          <w:lang w:val="uk-UA"/>
        </w:rPr>
        <w:t>апітальний ремонт дорожнього покр</w:t>
      </w:r>
      <w:r w:rsidR="00957DFA">
        <w:rPr>
          <w:sz w:val="28"/>
          <w:szCs w:val="28"/>
          <w:lang w:val="uk-UA"/>
        </w:rPr>
        <w:t xml:space="preserve">иття </w:t>
      </w:r>
      <w:proofErr w:type="spellStart"/>
      <w:r w:rsidR="00957DFA">
        <w:rPr>
          <w:sz w:val="28"/>
          <w:szCs w:val="28"/>
          <w:lang w:val="uk-UA"/>
        </w:rPr>
        <w:t>м.Ананьїв</w:t>
      </w:r>
      <w:proofErr w:type="spellEnd"/>
      <w:r w:rsidR="00957DFA">
        <w:rPr>
          <w:sz w:val="28"/>
          <w:szCs w:val="28"/>
          <w:lang w:val="uk-UA"/>
        </w:rPr>
        <w:t xml:space="preserve"> – 8399,5 </w:t>
      </w:r>
      <w:proofErr w:type="spellStart"/>
      <w:r w:rsidR="00957DFA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; к</w:t>
      </w:r>
      <w:r w:rsidRPr="00FF633C">
        <w:rPr>
          <w:sz w:val="28"/>
          <w:szCs w:val="28"/>
          <w:lang w:val="uk-UA"/>
        </w:rPr>
        <w:t xml:space="preserve">апітальний ремонт дорожнього покриття по </w:t>
      </w:r>
      <w:proofErr w:type="spellStart"/>
      <w:r w:rsidR="00957DFA">
        <w:rPr>
          <w:sz w:val="28"/>
          <w:szCs w:val="28"/>
          <w:lang w:val="uk-UA"/>
        </w:rPr>
        <w:t>вул.Антона</w:t>
      </w:r>
      <w:proofErr w:type="spellEnd"/>
      <w:r w:rsidR="00957DFA">
        <w:rPr>
          <w:sz w:val="28"/>
          <w:szCs w:val="28"/>
          <w:lang w:val="uk-UA"/>
        </w:rPr>
        <w:t xml:space="preserve"> Корбе-1204,3 </w:t>
      </w:r>
      <w:proofErr w:type="spellStart"/>
      <w:r w:rsidR="00957DFA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; к</w:t>
      </w:r>
      <w:r w:rsidRPr="00FF633C">
        <w:rPr>
          <w:sz w:val="28"/>
          <w:szCs w:val="28"/>
          <w:lang w:val="uk-UA"/>
        </w:rPr>
        <w:t xml:space="preserve">апітальний ремонт даху адміністративної будівлі </w:t>
      </w:r>
      <w:r w:rsidRPr="00FF633C">
        <w:rPr>
          <w:sz w:val="28"/>
          <w:szCs w:val="28"/>
          <w:lang w:val="uk-UA"/>
        </w:rPr>
        <w:lastRenderedPageBreak/>
        <w:t xml:space="preserve">Ананьївської міської ради за адресою: </w:t>
      </w:r>
      <w:proofErr w:type="spellStart"/>
      <w:r w:rsidRPr="00FF633C">
        <w:rPr>
          <w:sz w:val="28"/>
          <w:szCs w:val="28"/>
          <w:lang w:val="uk-UA"/>
        </w:rPr>
        <w:t>м.Ананьїв</w:t>
      </w:r>
      <w:proofErr w:type="spellEnd"/>
      <w:r w:rsidRPr="00FF633C">
        <w:rPr>
          <w:sz w:val="28"/>
          <w:szCs w:val="28"/>
          <w:lang w:val="uk-UA"/>
        </w:rPr>
        <w:t>, вул. Не</w:t>
      </w:r>
      <w:r w:rsidR="00957DFA">
        <w:rPr>
          <w:sz w:val="28"/>
          <w:szCs w:val="28"/>
          <w:lang w:val="uk-UA"/>
        </w:rPr>
        <w:t xml:space="preserve">залежності,20 -  3941,3 </w:t>
      </w:r>
      <w:proofErr w:type="spellStart"/>
      <w:r w:rsidR="00957DFA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; к</w:t>
      </w:r>
      <w:r w:rsidRPr="00FF633C">
        <w:rPr>
          <w:sz w:val="28"/>
          <w:szCs w:val="28"/>
          <w:lang w:val="uk-UA"/>
        </w:rPr>
        <w:t xml:space="preserve">апітальний ремонт </w:t>
      </w:r>
      <w:proofErr w:type="spellStart"/>
      <w:r w:rsidRPr="00FF633C">
        <w:rPr>
          <w:sz w:val="28"/>
          <w:szCs w:val="28"/>
          <w:lang w:val="uk-UA"/>
        </w:rPr>
        <w:t>адмінбудівлі</w:t>
      </w:r>
      <w:proofErr w:type="spellEnd"/>
      <w:r w:rsidRPr="00FF633C">
        <w:rPr>
          <w:sz w:val="28"/>
          <w:szCs w:val="28"/>
          <w:lang w:val="uk-UA"/>
        </w:rPr>
        <w:t xml:space="preserve"> розташованої за адресою:      м. Ананьїв, вул. Незалежності, 20 </w:t>
      </w:r>
      <w:r w:rsidR="00957DFA">
        <w:rPr>
          <w:sz w:val="28"/>
          <w:szCs w:val="28"/>
          <w:lang w:val="uk-UA"/>
        </w:rPr>
        <w:t xml:space="preserve">(заміна вікон) - 1088,2 </w:t>
      </w:r>
      <w:proofErr w:type="spellStart"/>
      <w:r w:rsidR="00957DFA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; к</w:t>
      </w:r>
      <w:r w:rsidRPr="00FF633C">
        <w:rPr>
          <w:sz w:val="28"/>
          <w:szCs w:val="28"/>
          <w:lang w:val="uk-UA"/>
        </w:rPr>
        <w:t xml:space="preserve">апітальний ремонт даху будівлі КНП "Ананьївський центр </w:t>
      </w:r>
      <w:proofErr w:type="spellStart"/>
      <w:r w:rsidRPr="00FF633C">
        <w:rPr>
          <w:sz w:val="28"/>
          <w:szCs w:val="28"/>
          <w:lang w:val="uk-UA"/>
        </w:rPr>
        <w:t>первиної</w:t>
      </w:r>
      <w:proofErr w:type="spellEnd"/>
      <w:r w:rsidRPr="00FF633C">
        <w:rPr>
          <w:sz w:val="28"/>
          <w:szCs w:val="28"/>
          <w:lang w:val="uk-UA"/>
        </w:rPr>
        <w:t xml:space="preserve"> медико-санітарн</w:t>
      </w:r>
      <w:r w:rsidR="00957DFA">
        <w:rPr>
          <w:sz w:val="28"/>
          <w:szCs w:val="28"/>
          <w:lang w:val="uk-UA"/>
        </w:rPr>
        <w:t xml:space="preserve">ої допомоги" - 3484,7 </w:t>
      </w:r>
      <w:proofErr w:type="spellStart"/>
      <w:r w:rsidR="00957DFA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, к</w:t>
      </w:r>
      <w:r w:rsidRPr="00FF633C">
        <w:rPr>
          <w:sz w:val="28"/>
          <w:szCs w:val="28"/>
          <w:lang w:val="uk-UA"/>
        </w:rPr>
        <w:t>апітальний ремонт дах</w:t>
      </w:r>
      <w:r w:rsidR="00957DFA">
        <w:rPr>
          <w:sz w:val="28"/>
          <w:szCs w:val="28"/>
          <w:lang w:val="uk-UA"/>
        </w:rPr>
        <w:t>у будівлі комунальної установи «</w:t>
      </w:r>
      <w:r w:rsidRPr="00FF633C">
        <w:rPr>
          <w:sz w:val="28"/>
          <w:szCs w:val="28"/>
          <w:lang w:val="uk-UA"/>
        </w:rPr>
        <w:t>Ананьївський ліцей №1</w:t>
      </w:r>
      <w:r w:rsidR="00957DFA">
        <w:rPr>
          <w:sz w:val="28"/>
          <w:szCs w:val="28"/>
          <w:lang w:val="uk-UA"/>
        </w:rPr>
        <w:t xml:space="preserve">» - 1376,7 </w:t>
      </w:r>
      <w:proofErr w:type="spellStart"/>
      <w:r w:rsidR="00957DFA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; к</w:t>
      </w:r>
      <w:r w:rsidRPr="00FF633C">
        <w:rPr>
          <w:sz w:val="28"/>
          <w:szCs w:val="28"/>
          <w:lang w:val="uk-UA"/>
        </w:rPr>
        <w:t xml:space="preserve">апітальний ремонт покриття даху багатоквартирного будинку за адресою: вул. Незалежності №26а, </w:t>
      </w:r>
      <w:proofErr w:type="spellStart"/>
      <w:r w:rsidRPr="00FF633C">
        <w:rPr>
          <w:sz w:val="28"/>
          <w:szCs w:val="28"/>
          <w:lang w:val="uk-UA"/>
        </w:rPr>
        <w:t>м.Ананьїв</w:t>
      </w:r>
      <w:proofErr w:type="spellEnd"/>
      <w:r w:rsidRPr="00FF633C">
        <w:rPr>
          <w:sz w:val="28"/>
          <w:szCs w:val="28"/>
          <w:lang w:val="uk-UA"/>
        </w:rPr>
        <w:t xml:space="preserve"> - </w:t>
      </w:r>
      <w:r w:rsidR="00957DFA">
        <w:rPr>
          <w:sz w:val="28"/>
          <w:szCs w:val="28"/>
          <w:lang w:val="uk-UA"/>
        </w:rPr>
        <w:t xml:space="preserve">1483,9 </w:t>
      </w:r>
      <w:proofErr w:type="spellStart"/>
      <w:r w:rsidR="00957DFA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; к</w:t>
      </w:r>
      <w:r w:rsidRPr="00FF633C">
        <w:rPr>
          <w:sz w:val="28"/>
          <w:szCs w:val="28"/>
          <w:lang w:val="uk-UA"/>
        </w:rPr>
        <w:t xml:space="preserve">апітальний ремонт даху адміністративної будівлі Ананьївської міської ради за адресою: </w:t>
      </w:r>
      <w:proofErr w:type="spellStart"/>
      <w:r w:rsidRPr="00FF633C">
        <w:rPr>
          <w:sz w:val="28"/>
          <w:szCs w:val="28"/>
          <w:lang w:val="uk-UA"/>
        </w:rPr>
        <w:t>м.Ананьїв</w:t>
      </w:r>
      <w:proofErr w:type="spellEnd"/>
      <w:r w:rsidRPr="00FF633C">
        <w:rPr>
          <w:sz w:val="28"/>
          <w:szCs w:val="28"/>
          <w:lang w:val="uk-UA"/>
        </w:rPr>
        <w:t>, вул.</w:t>
      </w:r>
      <w:r w:rsidR="00957DFA">
        <w:rPr>
          <w:sz w:val="28"/>
          <w:szCs w:val="28"/>
          <w:lang w:val="uk-UA"/>
        </w:rPr>
        <w:t xml:space="preserve">Незалежності,51 - 932,9 </w:t>
      </w:r>
      <w:proofErr w:type="spellStart"/>
      <w:r w:rsidR="00957DFA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; р</w:t>
      </w:r>
      <w:r w:rsidRPr="00FF633C">
        <w:rPr>
          <w:sz w:val="28"/>
          <w:szCs w:val="28"/>
          <w:lang w:val="uk-UA"/>
        </w:rPr>
        <w:t>обоча станція для оформлення та видачі паспортних документів, взяття біометричних даних і реєстраці</w:t>
      </w:r>
      <w:r w:rsidR="009F3680">
        <w:rPr>
          <w:sz w:val="28"/>
          <w:szCs w:val="28"/>
          <w:lang w:val="uk-UA"/>
        </w:rPr>
        <w:t xml:space="preserve">ї місць проживання - 546,0 </w:t>
      </w:r>
      <w:proofErr w:type="spellStart"/>
      <w:r w:rsidR="009F3680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="009F3680">
        <w:rPr>
          <w:sz w:val="28"/>
          <w:szCs w:val="28"/>
          <w:lang w:val="uk-UA"/>
        </w:rPr>
        <w:t>.</w:t>
      </w:r>
      <w:r w:rsidR="00957DFA">
        <w:rPr>
          <w:sz w:val="28"/>
          <w:szCs w:val="28"/>
          <w:lang w:val="uk-UA"/>
        </w:rPr>
        <w:t>; к</w:t>
      </w:r>
      <w:r w:rsidRPr="00FF633C">
        <w:rPr>
          <w:sz w:val="28"/>
          <w:szCs w:val="28"/>
          <w:lang w:val="uk-UA"/>
        </w:rPr>
        <w:t>апітальний ремонт даху нежитлово</w:t>
      </w:r>
      <w:r w:rsidR="00957DFA">
        <w:rPr>
          <w:sz w:val="28"/>
          <w:szCs w:val="28"/>
          <w:lang w:val="uk-UA"/>
        </w:rPr>
        <w:t>ї будівлі Комунальної установи «</w:t>
      </w:r>
      <w:r w:rsidRPr="00FF633C">
        <w:rPr>
          <w:sz w:val="28"/>
          <w:szCs w:val="28"/>
          <w:lang w:val="uk-UA"/>
        </w:rPr>
        <w:t>Ананьївський центральний будинок культури Ананьївської міської ради</w:t>
      </w:r>
      <w:r w:rsidR="00957DFA">
        <w:rPr>
          <w:sz w:val="28"/>
          <w:szCs w:val="28"/>
          <w:lang w:val="uk-UA"/>
        </w:rPr>
        <w:t xml:space="preserve">» - 410,6 </w:t>
      </w:r>
      <w:proofErr w:type="spellStart"/>
      <w:r w:rsidR="00957DFA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;  к</w:t>
      </w:r>
      <w:r w:rsidRPr="00FF633C">
        <w:rPr>
          <w:sz w:val="28"/>
          <w:szCs w:val="28"/>
          <w:lang w:val="uk-UA"/>
        </w:rPr>
        <w:t xml:space="preserve">апітальний ремонт даху нежитлової будівлі  з господарськими (допоміжними) </w:t>
      </w:r>
      <w:r w:rsidR="00957DFA">
        <w:rPr>
          <w:sz w:val="28"/>
          <w:szCs w:val="28"/>
          <w:lang w:val="uk-UA"/>
        </w:rPr>
        <w:t>спорудами Комунальної установи «</w:t>
      </w:r>
      <w:proofErr w:type="spellStart"/>
      <w:r w:rsidRPr="00FF633C">
        <w:rPr>
          <w:sz w:val="28"/>
          <w:szCs w:val="28"/>
          <w:lang w:val="uk-UA"/>
        </w:rPr>
        <w:t>Жеребківський</w:t>
      </w:r>
      <w:proofErr w:type="spellEnd"/>
      <w:r w:rsidRPr="00FF633C">
        <w:rPr>
          <w:sz w:val="28"/>
          <w:szCs w:val="28"/>
          <w:lang w:val="uk-UA"/>
        </w:rPr>
        <w:t xml:space="preserve"> ліцей</w:t>
      </w:r>
      <w:r w:rsidR="00957DFA">
        <w:rPr>
          <w:sz w:val="28"/>
          <w:szCs w:val="28"/>
          <w:lang w:val="uk-UA"/>
        </w:rPr>
        <w:t>»</w:t>
      </w:r>
      <w:r w:rsidRPr="00FF633C">
        <w:rPr>
          <w:sz w:val="28"/>
          <w:szCs w:val="28"/>
          <w:lang w:val="uk-UA"/>
        </w:rPr>
        <w:t xml:space="preserve"> - 2741,4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957DFA">
        <w:rPr>
          <w:sz w:val="28"/>
          <w:szCs w:val="28"/>
          <w:lang w:val="uk-UA"/>
        </w:rPr>
        <w:t>;</w:t>
      </w:r>
      <w:r w:rsidRPr="00FF633C">
        <w:rPr>
          <w:sz w:val="28"/>
          <w:szCs w:val="28"/>
          <w:lang w:val="uk-UA"/>
        </w:rPr>
        <w:t xml:space="preserve"> </w:t>
      </w:r>
      <w:r w:rsidR="00957DFA">
        <w:rPr>
          <w:sz w:val="28"/>
          <w:szCs w:val="28"/>
          <w:lang w:val="uk-UA"/>
        </w:rPr>
        <w:t>к</w:t>
      </w:r>
      <w:r w:rsidRPr="00FF633C">
        <w:rPr>
          <w:sz w:val="28"/>
          <w:szCs w:val="28"/>
          <w:lang w:val="uk-UA"/>
        </w:rPr>
        <w:t xml:space="preserve">апітальний ремонт даху адміністративної будівлі за адресою: </w:t>
      </w:r>
      <w:proofErr w:type="spellStart"/>
      <w:r w:rsidRPr="00FF633C">
        <w:rPr>
          <w:sz w:val="28"/>
          <w:szCs w:val="28"/>
          <w:lang w:val="uk-UA"/>
        </w:rPr>
        <w:t>м.Ананьїв</w:t>
      </w:r>
      <w:proofErr w:type="spellEnd"/>
      <w:r w:rsidRPr="00FF633C">
        <w:rPr>
          <w:sz w:val="28"/>
          <w:szCs w:val="28"/>
          <w:lang w:val="uk-UA"/>
        </w:rPr>
        <w:t xml:space="preserve">, </w:t>
      </w:r>
      <w:r w:rsidR="009F3680">
        <w:rPr>
          <w:sz w:val="28"/>
          <w:szCs w:val="28"/>
          <w:lang w:val="uk-UA"/>
        </w:rPr>
        <w:t xml:space="preserve">                               </w:t>
      </w:r>
      <w:r w:rsidRPr="00FF633C">
        <w:rPr>
          <w:sz w:val="28"/>
          <w:szCs w:val="28"/>
          <w:lang w:val="uk-UA"/>
        </w:rPr>
        <w:t>ву</w:t>
      </w:r>
      <w:r w:rsidR="009F3680">
        <w:rPr>
          <w:sz w:val="28"/>
          <w:szCs w:val="28"/>
          <w:lang w:val="uk-UA"/>
        </w:rPr>
        <w:t xml:space="preserve">л. Незалежності,51 - 522,9 </w:t>
      </w:r>
      <w:proofErr w:type="spellStart"/>
      <w:r w:rsidR="009F3680">
        <w:rPr>
          <w:sz w:val="28"/>
          <w:szCs w:val="28"/>
          <w:lang w:val="uk-UA"/>
        </w:rPr>
        <w:t>тис.</w:t>
      </w:r>
      <w:r w:rsidR="00957DFA">
        <w:rPr>
          <w:sz w:val="28"/>
          <w:szCs w:val="28"/>
          <w:lang w:val="uk-UA"/>
        </w:rPr>
        <w:t>грн</w:t>
      </w:r>
      <w:proofErr w:type="spellEnd"/>
      <w:r w:rsidR="00957DFA">
        <w:rPr>
          <w:sz w:val="28"/>
          <w:szCs w:val="28"/>
          <w:lang w:val="uk-UA"/>
        </w:rPr>
        <w:t>;</w:t>
      </w:r>
      <w:r w:rsidRPr="00FF633C">
        <w:rPr>
          <w:sz w:val="28"/>
          <w:szCs w:val="28"/>
          <w:lang w:val="uk-UA"/>
        </w:rPr>
        <w:t xml:space="preserve"> </w:t>
      </w:r>
      <w:r w:rsidR="00957DFA">
        <w:rPr>
          <w:sz w:val="28"/>
          <w:szCs w:val="28"/>
          <w:lang w:val="uk-UA"/>
        </w:rPr>
        <w:t>к</w:t>
      </w:r>
      <w:r w:rsidRPr="00FF633C">
        <w:rPr>
          <w:sz w:val="28"/>
          <w:szCs w:val="28"/>
          <w:lang w:val="uk-UA"/>
        </w:rPr>
        <w:t>апітальний ремонт системи опалення адміністративної будівлі за а</w:t>
      </w:r>
      <w:r w:rsidR="009F3680">
        <w:rPr>
          <w:sz w:val="28"/>
          <w:szCs w:val="28"/>
          <w:lang w:val="uk-UA"/>
        </w:rPr>
        <w:t xml:space="preserve">дресою: вул. Центральна,21, </w:t>
      </w:r>
      <w:proofErr w:type="spellStart"/>
      <w:r w:rsidR="009F3680">
        <w:rPr>
          <w:sz w:val="28"/>
          <w:szCs w:val="28"/>
          <w:lang w:val="uk-UA"/>
        </w:rPr>
        <w:t>с.</w:t>
      </w:r>
      <w:r w:rsidRPr="00FF633C">
        <w:rPr>
          <w:sz w:val="28"/>
          <w:szCs w:val="28"/>
          <w:lang w:val="uk-UA"/>
        </w:rPr>
        <w:t>Шимкове</w:t>
      </w:r>
      <w:proofErr w:type="spellEnd"/>
      <w:r w:rsidRPr="00FF633C">
        <w:rPr>
          <w:sz w:val="28"/>
          <w:szCs w:val="28"/>
          <w:lang w:val="uk-UA"/>
        </w:rPr>
        <w:t xml:space="preserve"> - </w:t>
      </w:r>
      <w:r w:rsidR="009F3680">
        <w:rPr>
          <w:sz w:val="28"/>
          <w:szCs w:val="28"/>
          <w:lang w:val="uk-UA"/>
        </w:rPr>
        <w:t xml:space="preserve">              </w:t>
      </w:r>
      <w:r w:rsidR="00EE3DE2">
        <w:rPr>
          <w:sz w:val="28"/>
          <w:szCs w:val="28"/>
          <w:lang w:val="uk-UA"/>
        </w:rPr>
        <w:t xml:space="preserve">528,8 </w:t>
      </w:r>
      <w:proofErr w:type="spellStart"/>
      <w:r w:rsidR="00EE3DE2">
        <w:rPr>
          <w:sz w:val="28"/>
          <w:szCs w:val="28"/>
          <w:lang w:val="uk-UA"/>
        </w:rPr>
        <w:t>тис.грн</w:t>
      </w:r>
      <w:proofErr w:type="spellEnd"/>
      <w:r w:rsidR="00EE3DE2">
        <w:rPr>
          <w:sz w:val="28"/>
          <w:szCs w:val="28"/>
          <w:lang w:val="uk-UA"/>
        </w:rPr>
        <w:t>; к</w:t>
      </w:r>
      <w:r w:rsidRPr="00FF633C">
        <w:rPr>
          <w:sz w:val="28"/>
          <w:szCs w:val="28"/>
          <w:lang w:val="uk-UA"/>
        </w:rPr>
        <w:t>апітальний ремонт санвузлів в будівлі комунальної установи «</w:t>
      </w:r>
      <w:proofErr w:type="spellStart"/>
      <w:r w:rsidRPr="00FF633C">
        <w:rPr>
          <w:sz w:val="28"/>
          <w:szCs w:val="28"/>
          <w:lang w:val="uk-UA"/>
        </w:rPr>
        <w:t>Жереб</w:t>
      </w:r>
      <w:r w:rsidR="00EE3DE2">
        <w:rPr>
          <w:sz w:val="28"/>
          <w:szCs w:val="28"/>
          <w:lang w:val="uk-UA"/>
        </w:rPr>
        <w:t>ківський</w:t>
      </w:r>
      <w:proofErr w:type="spellEnd"/>
      <w:r w:rsidR="00EE3DE2">
        <w:rPr>
          <w:sz w:val="28"/>
          <w:szCs w:val="28"/>
          <w:lang w:val="uk-UA"/>
        </w:rPr>
        <w:t xml:space="preserve"> ліцей» - 950,6 </w:t>
      </w:r>
      <w:proofErr w:type="spellStart"/>
      <w:r w:rsidR="00EE3DE2">
        <w:rPr>
          <w:sz w:val="28"/>
          <w:szCs w:val="28"/>
          <w:lang w:val="uk-UA"/>
        </w:rPr>
        <w:t>тис.грн</w:t>
      </w:r>
      <w:proofErr w:type="spellEnd"/>
      <w:r w:rsidR="00EE3DE2">
        <w:rPr>
          <w:sz w:val="28"/>
          <w:szCs w:val="28"/>
          <w:lang w:val="uk-UA"/>
        </w:rPr>
        <w:t>;</w:t>
      </w:r>
      <w:r w:rsidRPr="00FF633C">
        <w:rPr>
          <w:sz w:val="28"/>
          <w:szCs w:val="28"/>
          <w:lang w:val="uk-UA"/>
        </w:rPr>
        <w:t xml:space="preserve"> </w:t>
      </w:r>
      <w:r w:rsidR="00EE3DE2">
        <w:rPr>
          <w:sz w:val="28"/>
          <w:szCs w:val="28"/>
          <w:lang w:val="uk-UA"/>
        </w:rPr>
        <w:t>к</w:t>
      </w:r>
      <w:r w:rsidRPr="00FF633C">
        <w:rPr>
          <w:sz w:val="28"/>
          <w:szCs w:val="28"/>
          <w:lang w:val="uk-UA"/>
        </w:rPr>
        <w:t>апітальний ремонт даху нежитлової будівлі міської бібліотеки-філі</w:t>
      </w:r>
      <w:r w:rsidR="00EE3DE2">
        <w:rPr>
          <w:sz w:val="28"/>
          <w:szCs w:val="28"/>
          <w:lang w:val="uk-UA"/>
        </w:rPr>
        <w:t xml:space="preserve">ї для дітей - 944,1 </w:t>
      </w:r>
      <w:proofErr w:type="spellStart"/>
      <w:r w:rsidR="00EE3DE2">
        <w:rPr>
          <w:sz w:val="28"/>
          <w:szCs w:val="28"/>
          <w:lang w:val="uk-UA"/>
        </w:rPr>
        <w:t>тис.грн</w:t>
      </w:r>
      <w:proofErr w:type="spellEnd"/>
      <w:r w:rsidR="00EE3DE2">
        <w:rPr>
          <w:sz w:val="28"/>
          <w:szCs w:val="28"/>
          <w:lang w:val="uk-UA"/>
        </w:rPr>
        <w:t>;</w:t>
      </w:r>
      <w:r w:rsidRPr="00FF633C">
        <w:rPr>
          <w:sz w:val="28"/>
          <w:szCs w:val="28"/>
          <w:lang w:val="uk-UA"/>
        </w:rPr>
        <w:t xml:space="preserve"> </w:t>
      </w:r>
      <w:r w:rsidR="00EE3DE2">
        <w:rPr>
          <w:sz w:val="28"/>
          <w:szCs w:val="28"/>
          <w:lang w:val="uk-UA"/>
        </w:rPr>
        <w:t>к</w:t>
      </w:r>
      <w:r w:rsidRPr="00FF633C">
        <w:rPr>
          <w:sz w:val="28"/>
          <w:szCs w:val="28"/>
          <w:lang w:val="uk-UA"/>
        </w:rPr>
        <w:t xml:space="preserve">апітальний ремонт майнового комплексу будівель стадіону (дворова </w:t>
      </w:r>
      <w:r w:rsidR="009F3680" w:rsidRPr="00FF633C">
        <w:rPr>
          <w:sz w:val="28"/>
          <w:szCs w:val="28"/>
          <w:lang w:val="uk-UA"/>
        </w:rPr>
        <w:t>вбиральня</w:t>
      </w:r>
      <w:r w:rsidRPr="00FF633C">
        <w:rPr>
          <w:sz w:val="28"/>
          <w:szCs w:val="28"/>
          <w:lang w:val="uk-UA"/>
        </w:rPr>
        <w:t xml:space="preserve">) - 398,6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Протягом 2023 року проводились видатки за місцевими цільовими програмами: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«Водного та екологічного оздоровлення водних об’єктів на території Ананьївської міської територіальної громади на 2023-2030 роки» на суму 30,0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9F3680">
        <w:rPr>
          <w:sz w:val="28"/>
          <w:szCs w:val="28"/>
          <w:lang w:val="uk-UA"/>
        </w:rPr>
        <w:t xml:space="preserve">. (розробка </w:t>
      </w:r>
      <w:proofErr w:type="spellStart"/>
      <w:r w:rsidR="009F3680">
        <w:rPr>
          <w:sz w:val="28"/>
          <w:szCs w:val="28"/>
          <w:lang w:val="uk-UA"/>
        </w:rPr>
        <w:t>тех</w:t>
      </w:r>
      <w:proofErr w:type="spellEnd"/>
      <w:r w:rsidR="009F3680">
        <w:rPr>
          <w:sz w:val="28"/>
          <w:szCs w:val="28"/>
          <w:lang w:val="uk-UA"/>
        </w:rPr>
        <w:t>. д</w:t>
      </w:r>
      <w:r w:rsidRPr="00FF633C">
        <w:rPr>
          <w:sz w:val="28"/>
          <w:szCs w:val="28"/>
          <w:lang w:val="uk-UA"/>
        </w:rPr>
        <w:t>окументації);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«Підтримка   комунального  підприємства   «Ананьївська  друкарня Ананьївської міської ради» на 2021-2023 роки на суму 99,0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9F3680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(ремонт опалювальної системи);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«Енергоефективність та енергозбереження на території Ананьївської міської територіальної громади на 2023 рік» - 18416,7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EE3DE2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(капітальний ремонт дахів, опалення).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  </w:t>
      </w:r>
      <w:r w:rsidRPr="00FF633C">
        <w:rPr>
          <w:b/>
          <w:sz w:val="28"/>
          <w:szCs w:val="28"/>
          <w:lang w:val="uk-UA"/>
        </w:rPr>
        <w:t xml:space="preserve">Видатки іншої діяльності </w:t>
      </w:r>
      <w:r w:rsidRPr="00FF633C">
        <w:rPr>
          <w:sz w:val="28"/>
          <w:szCs w:val="28"/>
          <w:lang w:val="uk-UA"/>
        </w:rPr>
        <w:t xml:space="preserve">по загальному фонду виконано у сумі 1383,0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в тому числі: на заходи мобілізаційної підготовки – </w:t>
      </w:r>
      <w:r w:rsidR="009F3680">
        <w:rPr>
          <w:sz w:val="28"/>
          <w:szCs w:val="28"/>
          <w:lang w:val="uk-UA"/>
        </w:rPr>
        <w:t xml:space="preserve">                  </w:t>
      </w:r>
      <w:r w:rsidRPr="00FF633C">
        <w:rPr>
          <w:sz w:val="28"/>
          <w:szCs w:val="28"/>
          <w:lang w:val="uk-UA"/>
        </w:rPr>
        <w:t xml:space="preserve">49,9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 на цивільний за</w:t>
      </w:r>
      <w:r w:rsidR="009F3680">
        <w:rPr>
          <w:sz w:val="28"/>
          <w:szCs w:val="28"/>
          <w:lang w:val="uk-UA"/>
        </w:rPr>
        <w:t xml:space="preserve">хист населення – 1333,1 </w:t>
      </w:r>
      <w:proofErr w:type="spellStart"/>
      <w:r w:rsidR="009F3680">
        <w:rPr>
          <w:sz w:val="28"/>
          <w:szCs w:val="28"/>
          <w:lang w:val="uk-UA"/>
        </w:rPr>
        <w:t>тис.грн</w:t>
      </w:r>
      <w:proofErr w:type="spellEnd"/>
      <w:r w:rsidR="009F3680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Видатки спеціального фонду (в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 xml:space="preserve">. бюджету розвитку) по галузі «Інша діяльність» профінансовані у сумі - 31880,9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, а саме: генератори електричного струму (Ліцей</w:t>
      </w:r>
      <w:r w:rsidR="00EE3DE2">
        <w:rPr>
          <w:sz w:val="28"/>
          <w:szCs w:val="28"/>
          <w:lang w:val="uk-UA"/>
        </w:rPr>
        <w:t xml:space="preserve"> №</w:t>
      </w:r>
      <w:r w:rsidRPr="00FF633C">
        <w:rPr>
          <w:sz w:val="28"/>
          <w:szCs w:val="28"/>
          <w:lang w:val="uk-UA"/>
        </w:rPr>
        <w:t>1, Ліцей</w:t>
      </w:r>
      <w:r w:rsidR="00EE3DE2">
        <w:rPr>
          <w:sz w:val="28"/>
          <w:szCs w:val="28"/>
          <w:lang w:val="uk-UA"/>
        </w:rPr>
        <w:t xml:space="preserve"> №</w:t>
      </w:r>
      <w:r w:rsidRPr="00FF633C">
        <w:rPr>
          <w:sz w:val="28"/>
          <w:szCs w:val="28"/>
          <w:lang w:val="uk-UA"/>
        </w:rPr>
        <w:t xml:space="preserve">2, ДНЗ «Сонечко», ДНЗ «Ромашка», </w:t>
      </w:r>
      <w:proofErr w:type="spellStart"/>
      <w:r w:rsidRPr="00FF633C">
        <w:rPr>
          <w:sz w:val="28"/>
          <w:szCs w:val="28"/>
          <w:lang w:val="uk-UA"/>
        </w:rPr>
        <w:t>Гандрабурівський</w:t>
      </w:r>
      <w:proofErr w:type="spellEnd"/>
      <w:r w:rsidRPr="00FF633C">
        <w:rPr>
          <w:sz w:val="28"/>
          <w:szCs w:val="28"/>
          <w:lang w:val="uk-UA"/>
        </w:rPr>
        <w:t xml:space="preserve"> ліцей, </w:t>
      </w:r>
      <w:r w:rsidR="00EE3DE2">
        <w:rPr>
          <w:sz w:val="28"/>
          <w:szCs w:val="28"/>
          <w:lang w:val="uk-UA"/>
        </w:rPr>
        <w:t>Ананьївська м</w:t>
      </w:r>
      <w:r w:rsidRPr="00FF633C">
        <w:rPr>
          <w:sz w:val="28"/>
          <w:szCs w:val="28"/>
          <w:lang w:val="uk-UA"/>
        </w:rPr>
        <w:t xml:space="preserve">іська рада) – 907,9 тис. грн; меблі для укриття (міський будинок культури) - 80,2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; на заходи територіальної оборони (екскаватор, автобус, </w:t>
      </w:r>
      <w:proofErr w:type="spellStart"/>
      <w:r w:rsidRPr="00FF633C">
        <w:rPr>
          <w:sz w:val="28"/>
          <w:szCs w:val="28"/>
          <w:lang w:val="uk-UA"/>
        </w:rPr>
        <w:t>антидронові</w:t>
      </w:r>
      <w:proofErr w:type="spellEnd"/>
      <w:r w:rsidRPr="00FF633C">
        <w:rPr>
          <w:sz w:val="28"/>
          <w:szCs w:val="28"/>
          <w:lang w:val="uk-UA"/>
        </w:rPr>
        <w:t xml:space="preserve"> рушниці, </w:t>
      </w:r>
      <w:proofErr w:type="spellStart"/>
      <w:r w:rsidRPr="00FF633C">
        <w:rPr>
          <w:sz w:val="28"/>
          <w:szCs w:val="28"/>
          <w:lang w:val="uk-UA"/>
        </w:rPr>
        <w:t>квадракоптери</w:t>
      </w:r>
      <w:proofErr w:type="spellEnd"/>
      <w:r w:rsidR="00EE3DE2">
        <w:rPr>
          <w:sz w:val="28"/>
          <w:szCs w:val="28"/>
          <w:lang w:val="uk-UA"/>
        </w:rPr>
        <w:t xml:space="preserve">) – 10488,0 </w:t>
      </w:r>
      <w:proofErr w:type="spellStart"/>
      <w:r w:rsidR="00EE3DE2">
        <w:rPr>
          <w:sz w:val="28"/>
          <w:szCs w:val="28"/>
          <w:lang w:val="uk-UA"/>
        </w:rPr>
        <w:t>тис.грн</w:t>
      </w:r>
      <w:proofErr w:type="spellEnd"/>
      <w:r w:rsidR="00EE3DE2">
        <w:rPr>
          <w:sz w:val="28"/>
          <w:szCs w:val="28"/>
          <w:lang w:val="uk-UA"/>
        </w:rPr>
        <w:t>; придбання м</w:t>
      </w:r>
      <w:r w:rsidRPr="00FF633C">
        <w:rPr>
          <w:sz w:val="28"/>
          <w:szCs w:val="28"/>
          <w:lang w:val="uk-UA"/>
        </w:rPr>
        <w:t>одульних укриттів (</w:t>
      </w:r>
      <w:proofErr w:type="spellStart"/>
      <w:r w:rsidRPr="00FF633C">
        <w:rPr>
          <w:sz w:val="28"/>
          <w:szCs w:val="28"/>
          <w:lang w:val="uk-UA"/>
        </w:rPr>
        <w:t>Жеребківський</w:t>
      </w:r>
      <w:proofErr w:type="spellEnd"/>
      <w:r w:rsidRPr="00FF633C">
        <w:rPr>
          <w:sz w:val="28"/>
          <w:szCs w:val="28"/>
          <w:lang w:val="uk-UA"/>
        </w:rPr>
        <w:t xml:space="preserve"> ліцей, Ліцей</w:t>
      </w:r>
      <w:r w:rsidR="00EE3DE2">
        <w:rPr>
          <w:sz w:val="28"/>
          <w:szCs w:val="28"/>
          <w:lang w:val="uk-UA"/>
        </w:rPr>
        <w:t xml:space="preserve"> №</w:t>
      </w:r>
      <w:r w:rsidRPr="00FF633C">
        <w:rPr>
          <w:sz w:val="28"/>
          <w:szCs w:val="28"/>
          <w:lang w:val="uk-UA"/>
        </w:rPr>
        <w:t>1 (</w:t>
      </w:r>
      <w:proofErr w:type="spellStart"/>
      <w:r w:rsidRPr="00FF633C">
        <w:rPr>
          <w:sz w:val="28"/>
          <w:szCs w:val="28"/>
          <w:lang w:val="uk-UA"/>
        </w:rPr>
        <w:t>Романівська</w:t>
      </w:r>
      <w:proofErr w:type="spellEnd"/>
      <w:r w:rsidRPr="00FF633C">
        <w:rPr>
          <w:sz w:val="28"/>
          <w:szCs w:val="28"/>
          <w:lang w:val="uk-UA"/>
        </w:rPr>
        <w:t xml:space="preserve"> філія), Ліцей </w:t>
      </w:r>
      <w:r w:rsidR="00EE3DE2">
        <w:rPr>
          <w:sz w:val="28"/>
          <w:szCs w:val="28"/>
          <w:lang w:val="uk-UA"/>
        </w:rPr>
        <w:t>№</w:t>
      </w:r>
      <w:r w:rsidRPr="00FF633C">
        <w:rPr>
          <w:sz w:val="28"/>
          <w:szCs w:val="28"/>
          <w:lang w:val="uk-UA"/>
        </w:rPr>
        <w:t>2 (</w:t>
      </w:r>
      <w:proofErr w:type="spellStart"/>
      <w:r w:rsidRPr="00FF633C">
        <w:rPr>
          <w:sz w:val="28"/>
          <w:szCs w:val="28"/>
          <w:lang w:val="uk-UA"/>
        </w:rPr>
        <w:t>Н.Селівська</w:t>
      </w:r>
      <w:proofErr w:type="spellEnd"/>
      <w:r w:rsidRPr="00FF633C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lastRenderedPageBreak/>
        <w:t xml:space="preserve">філія), ДНЗ «Ромашка», ДНЗ «Сонечко») - 19286,5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 виготовлення проектор-кошторисної документації на капітальний ремонт споруд цивільного захисту (укриття) (КУ "Ананьївський ліцей №1, Ананьївська міська рада (</w:t>
      </w:r>
      <w:proofErr w:type="spellStart"/>
      <w:r w:rsidRPr="00FF633C">
        <w:rPr>
          <w:sz w:val="28"/>
          <w:szCs w:val="28"/>
          <w:lang w:val="uk-UA"/>
        </w:rPr>
        <w:t>адмінбудівля</w:t>
      </w:r>
      <w:proofErr w:type="spellEnd"/>
      <w:r w:rsidRPr="00FF633C">
        <w:rPr>
          <w:sz w:val="28"/>
          <w:szCs w:val="28"/>
          <w:lang w:val="uk-UA"/>
        </w:rPr>
        <w:t xml:space="preserve">), </w:t>
      </w:r>
      <w:proofErr w:type="spellStart"/>
      <w:r w:rsidRPr="00FF633C">
        <w:rPr>
          <w:sz w:val="28"/>
          <w:szCs w:val="28"/>
          <w:lang w:val="uk-UA"/>
        </w:rPr>
        <w:t>Байтальська</w:t>
      </w:r>
      <w:proofErr w:type="spellEnd"/>
      <w:r w:rsidRPr="00FF633C">
        <w:rPr>
          <w:sz w:val="28"/>
          <w:szCs w:val="28"/>
          <w:lang w:val="uk-UA"/>
        </w:rPr>
        <w:t xml:space="preserve"> філія  Ліцей</w:t>
      </w:r>
      <w:r w:rsidR="00EE3DE2">
        <w:rPr>
          <w:sz w:val="28"/>
          <w:szCs w:val="28"/>
          <w:lang w:val="uk-UA"/>
        </w:rPr>
        <w:t xml:space="preserve"> №</w:t>
      </w:r>
      <w:r w:rsidRPr="00FF633C">
        <w:rPr>
          <w:sz w:val="28"/>
          <w:szCs w:val="28"/>
          <w:lang w:val="uk-UA"/>
        </w:rPr>
        <w:t xml:space="preserve">1) – 493,4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 капітальний ремо</w:t>
      </w:r>
      <w:r w:rsidR="009F3680">
        <w:rPr>
          <w:sz w:val="28"/>
          <w:szCs w:val="28"/>
          <w:lang w:val="uk-UA"/>
        </w:rPr>
        <w:t>нт споруди цивільного захисту (</w:t>
      </w:r>
      <w:r w:rsidRPr="00FF633C">
        <w:rPr>
          <w:sz w:val="28"/>
          <w:szCs w:val="28"/>
          <w:lang w:val="uk-UA"/>
        </w:rPr>
        <w:t>міський БК) – 594,9 тис. грн.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Протягом 2023 року проводились видатки за місцевими цільовими програмами: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«Створення і використання матеріального резерву для запобігання та ліквідації наслідків надзвичайних ситуацій техногенного і природного характеру на 2021-2025 роки» на суму 50,0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«Розвиток цивільного захисту, техногенної та пожежної безпеки» на суму 22722,1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9F3680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(придбання модульних </w:t>
      </w:r>
      <w:r w:rsidR="009F3680" w:rsidRPr="00FF633C">
        <w:rPr>
          <w:sz w:val="28"/>
          <w:szCs w:val="28"/>
          <w:lang w:val="uk-UA"/>
        </w:rPr>
        <w:t>укриттів</w:t>
      </w:r>
      <w:r w:rsidRPr="00FF633C">
        <w:rPr>
          <w:sz w:val="28"/>
          <w:szCs w:val="28"/>
          <w:lang w:val="uk-UA"/>
        </w:rPr>
        <w:t xml:space="preserve">, ремонт та облаштування </w:t>
      </w:r>
      <w:r w:rsidR="009F3680" w:rsidRPr="00FF633C">
        <w:rPr>
          <w:sz w:val="28"/>
          <w:szCs w:val="28"/>
          <w:lang w:val="uk-UA"/>
        </w:rPr>
        <w:t>укриттів</w:t>
      </w:r>
      <w:r w:rsidRPr="00FF633C">
        <w:rPr>
          <w:sz w:val="28"/>
          <w:szCs w:val="28"/>
          <w:lang w:val="uk-UA"/>
        </w:rPr>
        <w:t>,</w:t>
      </w:r>
      <w:r w:rsidR="009F3680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>бензин для роботи електричних генераторів)</w:t>
      </w:r>
      <w:r w:rsidR="009F3680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«Водного та екологічного оздоровлення водних об’єктів на території Ананьївської міської територіальної громади на 2023-2030 роки» на суму 17,5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9F3680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(таблички для встановлення на водних </w:t>
      </w:r>
      <w:r w:rsidR="009F3680" w:rsidRPr="00FF633C">
        <w:rPr>
          <w:sz w:val="28"/>
          <w:szCs w:val="28"/>
          <w:lang w:val="uk-UA"/>
        </w:rPr>
        <w:t>об’єктах</w:t>
      </w:r>
      <w:r w:rsidRPr="00FF633C">
        <w:rPr>
          <w:sz w:val="28"/>
          <w:szCs w:val="28"/>
          <w:lang w:val="uk-UA"/>
        </w:rPr>
        <w:t>);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«Організація призову громадян України на строков</w:t>
      </w:r>
      <w:r w:rsidR="009F3680">
        <w:rPr>
          <w:sz w:val="28"/>
          <w:szCs w:val="28"/>
          <w:lang w:val="uk-UA"/>
        </w:rPr>
        <w:t>у</w:t>
      </w:r>
      <w:r w:rsidRPr="00FF633C">
        <w:rPr>
          <w:sz w:val="28"/>
          <w:szCs w:val="28"/>
          <w:lang w:val="uk-UA"/>
        </w:rPr>
        <w:t xml:space="preserve"> військову службу та забезпечення проведення заходів з мобілізаційної підготовки» на суму 49,9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«Забезпечення заходів територіальної оборони на території Ананьївської міської територіальної громади та підтримка Збройних сил країни на 2021-2023 роки» на суму 10488,0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9F3680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(придбання: </w:t>
      </w:r>
      <w:proofErr w:type="spellStart"/>
      <w:r w:rsidRPr="00FF633C">
        <w:rPr>
          <w:sz w:val="28"/>
          <w:szCs w:val="28"/>
          <w:lang w:val="uk-UA"/>
        </w:rPr>
        <w:t>квадрокоптерів</w:t>
      </w:r>
      <w:proofErr w:type="spellEnd"/>
      <w:r w:rsidRPr="00FF633C">
        <w:rPr>
          <w:sz w:val="28"/>
          <w:szCs w:val="28"/>
          <w:lang w:val="uk-UA"/>
        </w:rPr>
        <w:t xml:space="preserve">, </w:t>
      </w:r>
      <w:proofErr w:type="spellStart"/>
      <w:r w:rsidRPr="00FF633C">
        <w:rPr>
          <w:sz w:val="28"/>
          <w:szCs w:val="28"/>
          <w:lang w:val="uk-UA"/>
        </w:rPr>
        <w:t>антидронових</w:t>
      </w:r>
      <w:proofErr w:type="spellEnd"/>
      <w:r w:rsidRPr="00FF633C">
        <w:rPr>
          <w:sz w:val="28"/>
          <w:szCs w:val="28"/>
          <w:lang w:val="uk-UA"/>
        </w:rPr>
        <w:t xml:space="preserve"> рушниць-глушилок, автобуса, екскаватора)</w:t>
      </w:r>
      <w:r w:rsidR="009F3680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Видатки по міжбюджетним трансфертам</w:t>
      </w:r>
      <w:r w:rsidRPr="00FF633C">
        <w:rPr>
          <w:sz w:val="28"/>
          <w:szCs w:val="28"/>
          <w:lang w:val="uk-UA"/>
        </w:rPr>
        <w:t xml:space="preserve">  по загальному фонду виконано у сумі 3055,5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9F3680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(Субвенція з місцевого бюджету державному бюджету на виконання програм соціально-економічного розвитку регіонів), 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 xml:space="preserve">.: по Програмі "Забезпечення заходів територіальної оборони на території Ананьївської міської територіальної громади та підтримка Збройних сил України" (військові частини) – 2161,5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; по Програмі "Розвиток цивільного захисту, </w:t>
      </w:r>
      <w:r w:rsidR="009F3680" w:rsidRPr="00FF633C">
        <w:rPr>
          <w:sz w:val="28"/>
          <w:szCs w:val="28"/>
          <w:lang w:val="uk-UA"/>
        </w:rPr>
        <w:t>техногенної</w:t>
      </w:r>
      <w:r w:rsidRPr="00FF633C">
        <w:rPr>
          <w:sz w:val="28"/>
          <w:szCs w:val="28"/>
          <w:lang w:val="uk-UA"/>
        </w:rPr>
        <w:t xml:space="preserve"> та пожежної безпеки" (4 ДПРЗ ГУ ДСНС України в Одеській області) – 505,0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; по Програмі "Безпечна Ананьївська міська територіальна громада" (ГУНП в Одеській області) - 289,0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; по Програмі взаємодії Ананьївської міської ради та П</w:t>
      </w:r>
      <w:r w:rsidR="009F3680">
        <w:rPr>
          <w:sz w:val="28"/>
          <w:szCs w:val="28"/>
          <w:lang w:val="uk-UA"/>
        </w:rPr>
        <w:t>одільської районної державної (</w:t>
      </w:r>
      <w:r w:rsidRPr="00FF633C">
        <w:rPr>
          <w:sz w:val="28"/>
          <w:szCs w:val="28"/>
          <w:lang w:val="uk-UA"/>
        </w:rPr>
        <w:t xml:space="preserve">військової) адміністрації на 2023 рік  - </w:t>
      </w:r>
      <w:r w:rsidR="009F3680">
        <w:rPr>
          <w:sz w:val="28"/>
          <w:szCs w:val="28"/>
          <w:lang w:val="uk-UA"/>
        </w:rPr>
        <w:t xml:space="preserve">         </w:t>
      </w:r>
      <w:r w:rsidRPr="00FF633C">
        <w:rPr>
          <w:sz w:val="28"/>
          <w:szCs w:val="28"/>
          <w:lang w:val="uk-UA"/>
        </w:rPr>
        <w:t xml:space="preserve">100,0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Видатки спеціального фонду (в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>. бюджету розвитку)  по галузі «</w:t>
      </w:r>
      <w:proofErr w:type="spellStart"/>
      <w:r w:rsidRPr="00FF633C">
        <w:rPr>
          <w:sz w:val="28"/>
          <w:szCs w:val="28"/>
          <w:lang w:val="uk-UA"/>
        </w:rPr>
        <w:t>Міжбюджтетні</w:t>
      </w:r>
      <w:proofErr w:type="spellEnd"/>
      <w:r w:rsidRPr="00FF633C">
        <w:rPr>
          <w:sz w:val="28"/>
          <w:szCs w:val="28"/>
          <w:lang w:val="uk-UA"/>
        </w:rPr>
        <w:t xml:space="preserve"> трансферти» профінансовані у сумі 3231,7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, 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>.:</w:t>
      </w:r>
    </w:p>
    <w:p w:rsidR="00FF633C" w:rsidRPr="00FF633C" w:rsidRDefault="00EE3DE2" w:rsidP="00FF63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="00FF633C" w:rsidRPr="00FF633C">
        <w:rPr>
          <w:sz w:val="28"/>
          <w:szCs w:val="28"/>
          <w:lang w:val="uk-UA"/>
        </w:rPr>
        <w:t xml:space="preserve">убвенція з місцевого бюджету державному бюджету на виконання програм соціально-економічного розвитку регіонів – 2231,7 </w:t>
      </w:r>
      <w:proofErr w:type="spellStart"/>
      <w:r w:rsidR="00FF633C" w:rsidRPr="00FF633C"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 xml:space="preserve"> (по Програмі "Безпечна Ананьївська міська територіальна громада" (ГУНП в Одеській області) – 1100,0 </w:t>
      </w:r>
      <w:proofErr w:type="spellStart"/>
      <w:r w:rsidR="00FF633C" w:rsidRPr="00FF633C"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 xml:space="preserve">; по Програмі "Розвиток цивільного захисту, </w:t>
      </w:r>
      <w:r w:rsidR="009F3680" w:rsidRPr="00FF633C">
        <w:rPr>
          <w:sz w:val="28"/>
          <w:szCs w:val="28"/>
          <w:lang w:val="uk-UA"/>
        </w:rPr>
        <w:t>техногенної</w:t>
      </w:r>
      <w:r w:rsidR="00FF633C" w:rsidRPr="00FF633C">
        <w:rPr>
          <w:sz w:val="28"/>
          <w:szCs w:val="28"/>
          <w:lang w:val="uk-UA"/>
        </w:rPr>
        <w:t xml:space="preserve"> та пожежної безпеки" (4 ДПРЗ ГУ ДСНС України в Одеській області) – 45,0 </w:t>
      </w:r>
      <w:proofErr w:type="spellStart"/>
      <w:r w:rsidR="00FF633C" w:rsidRPr="00FF633C"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 xml:space="preserve">; по Програмі "Забезпечення заходів територіальної оборони на території Ананьївської міської територіальної </w:t>
      </w:r>
      <w:r w:rsidR="00FF633C" w:rsidRPr="00FF633C">
        <w:rPr>
          <w:sz w:val="28"/>
          <w:szCs w:val="28"/>
          <w:lang w:val="uk-UA"/>
        </w:rPr>
        <w:lastRenderedPageBreak/>
        <w:t>громади та підтримка Збройних сил України" (військов</w:t>
      </w:r>
      <w:r>
        <w:rPr>
          <w:sz w:val="28"/>
          <w:szCs w:val="28"/>
          <w:lang w:val="uk-UA"/>
        </w:rPr>
        <w:t xml:space="preserve">і частини) – 1086,7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>;</w:t>
      </w:r>
    </w:p>
    <w:p w:rsidR="00FF633C" w:rsidRPr="00FF633C" w:rsidRDefault="00EE3DE2" w:rsidP="00FF633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</w:t>
      </w:r>
      <w:r w:rsidR="00FF633C" w:rsidRPr="00FF633C">
        <w:rPr>
          <w:sz w:val="28"/>
          <w:szCs w:val="28"/>
          <w:lang w:val="uk-UA"/>
        </w:rPr>
        <w:t xml:space="preserve">убвенція з місцевого бюджету на </w:t>
      </w:r>
      <w:proofErr w:type="spellStart"/>
      <w:r w:rsidR="00FF633C" w:rsidRPr="00FF633C">
        <w:rPr>
          <w:sz w:val="28"/>
          <w:szCs w:val="28"/>
          <w:lang w:val="uk-UA"/>
        </w:rPr>
        <w:t>співфінансування</w:t>
      </w:r>
      <w:proofErr w:type="spellEnd"/>
      <w:r w:rsidR="00FF633C" w:rsidRPr="00FF633C">
        <w:rPr>
          <w:sz w:val="28"/>
          <w:szCs w:val="28"/>
          <w:lang w:val="uk-UA"/>
        </w:rPr>
        <w:t xml:space="preserve"> інвестиційних проектів (обласний бюджет) – 1000,0 </w:t>
      </w:r>
      <w:proofErr w:type="spellStart"/>
      <w:r w:rsidR="00FF633C" w:rsidRPr="00FF633C"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 xml:space="preserve"> (</w:t>
      </w:r>
      <w:proofErr w:type="spellStart"/>
      <w:r w:rsidR="00FF633C" w:rsidRPr="00FF633C">
        <w:rPr>
          <w:sz w:val="28"/>
          <w:szCs w:val="28"/>
          <w:lang w:val="uk-UA"/>
        </w:rPr>
        <w:t>співфінансування</w:t>
      </w:r>
      <w:proofErr w:type="spellEnd"/>
      <w:r w:rsidR="00FF633C" w:rsidRPr="00FF633C">
        <w:rPr>
          <w:sz w:val="28"/>
          <w:szCs w:val="28"/>
          <w:lang w:val="uk-UA"/>
        </w:rPr>
        <w:t xml:space="preserve"> шкільного автобусу).</w:t>
      </w:r>
    </w:p>
    <w:p w:rsidR="00FF633C" w:rsidRPr="00FF633C" w:rsidRDefault="00FF633C" w:rsidP="00FF633C">
      <w:pPr>
        <w:ind w:firstLine="720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Видатки </w:t>
      </w:r>
      <w:r w:rsidRPr="00FF633C">
        <w:rPr>
          <w:b/>
          <w:sz w:val="28"/>
          <w:szCs w:val="28"/>
          <w:lang w:val="uk-UA"/>
        </w:rPr>
        <w:t>спеціального фонду</w:t>
      </w:r>
      <w:r w:rsidRPr="00FF633C">
        <w:rPr>
          <w:sz w:val="28"/>
          <w:szCs w:val="28"/>
          <w:lang w:val="uk-UA"/>
        </w:rPr>
        <w:t xml:space="preserve"> бюджету територіальної громади виконані на 91,1% річних призначень, або на 116822,7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="00EE3DE2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(в тому числі капітальні видатки виконано у сумі 112985,6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 – 89,6%).</w:t>
      </w:r>
    </w:p>
    <w:p w:rsidR="00FF633C" w:rsidRPr="00FF633C" w:rsidRDefault="00FF633C" w:rsidP="00210DFB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Використання коштів в розрізі  функцій складає:</w:t>
      </w:r>
    </w:p>
    <w:p w:rsidR="00FF633C" w:rsidRPr="00FF633C" w:rsidRDefault="00210DFB" w:rsidP="00210DFB">
      <w:pPr>
        <w:numPr>
          <w:ilvl w:val="0"/>
          <w:numId w:val="2"/>
        </w:numPr>
        <w:tabs>
          <w:tab w:val="clear" w:pos="585"/>
          <w:tab w:val="num" w:pos="0"/>
          <w:tab w:val="left" w:pos="851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3DE2">
        <w:rPr>
          <w:sz w:val="28"/>
          <w:szCs w:val="28"/>
          <w:lang w:val="uk-UA"/>
        </w:rPr>
        <w:t>п</w:t>
      </w:r>
      <w:r w:rsidR="00FF633C" w:rsidRPr="00FF633C">
        <w:rPr>
          <w:sz w:val="28"/>
          <w:szCs w:val="28"/>
          <w:lang w:val="uk-UA"/>
        </w:rPr>
        <w:t xml:space="preserve">о «Державному управлінню» - 77,4 </w:t>
      </w:r>
      <w:proofErr w:type="spellStart"/>
      <w:r w:rsidR="00FF633C" w:rsidRPr="00FF633C"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 xml:space="preserve">, або 100%; </w:t>
      </w:r>
    </w:p>
    <w:p w:rsidR="00FF633C" w:rsidRPr="00FF633C" w:rsidRDefault="00210DFB" w:rsidP="00210DFB">
      <w:pPr>
        <w:numPr>
          <w:ilvl w:val="0"/>
          <w:numId w:val="2"/>
        </w:numPr>
        <w:tabs>
          <w:tab w:val="clear" w:pos="585"/>
          <w:tab w:val="num" w:pos="0"/>
          <w:tab w:val="left" w:pos="851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3DE2">
        <w:rPr>
          <w:sz w:val="28"/>
          <w:szCs w:val="28"/>
          <w:lang w:val="uk-UA"/>
        </w:rPr>
        <w:t>п</w:t>
      </w:r>
      <w:r w:rsidR="00FF633C" w:rsidRPr="00FF633C">
        <w:rPr>
          <w:sz w:val="28"/>
          <w:szCs w:val="28"/>
          <w:lang w:val="uk-UA"/>
        </w:rPr>
        <w:t>о «Освіті» -</w:t>
      </w:r>
      <w:r>
        <w:rPr>
          <w:sz w:val="28"/>
          <w:szCs w:val="28"/>
          <w:lang w:val="uk-UA"/>
        </w:rPr>
        <w:t xml:space="preserve"> </w:t>
      </w:r>
      <w:r w:rsidR="00FF633C" w:rsidRPr="00FF633C">
        <w:rPr>
          <w:sz w:val="28"/>
          <w:szCs w:val="28"/>
          <w:lang w:val="uk-UA"/>
        </w:rPr>
        <w:t xml:space="preserve">6614,8 </w:t>
      </w:r>
      <w:proofErr w:type="spellStart"/>
      <w:r w:rsidR="00FF633C" w:rsidRPr="00FF633C"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>, або 138,4%,</w:t>
      </w:r>
      <w:r>
        <w:rPr>
          <w:sz w:val="28"/>
          <w:szCs w:val="28"/>
          <w:lang w:val="uk-UA"/>
        </w:rPr>
        <w:t xml:space="preserve"> </w:t>
      </w:r>
      <w:r w:rsidR="00FF633C" w:rsidRPr="00FF633C">
        <w:rPr>
          <w:sz w:val="28"/>
          <w:szCs w:val="28"/>
          <w:lang w:val="uk-UA"/>
        </w:rPr>
        <w:t>з них власні кошти 3104,5</w:t>
      </w:r>
      <w:r w:rsidR="00FF633C" w:rsidRPr="00FF633C">
        <w:rPr>
          <w:sz w:val="26"/>
          <w:szCs w:val="26"/>
          <w:lang w:val="uk-UA"/>
        </w:rPr>
        <w:t xml:space="preserve"> тис</w:t>
      </w:r>
      <w:r w:rsidR="00FF633C" w:rsidRPr="00FF633C">
        <w:rPr>
          <w:sz w:val="28"/>
          <w:szCs w:val="28"/>
          <w:lang w:val="uk-UA"/>
        </w:rPr>
        <w:t xml:space="preserve">. </w:t>
      </w:r>
      <w:r w:rsidR="00FF633C" w:rsidRPr="00FF633C">
        <w:rPr>
          <w:sz w:val="26"/>
          <w:szCs w:val="26"/>
          <w:lang w:val="uk-UA"/>
        </w:rPr>
        <w:t>грн;</w:t>
      </w:r>
    </w:p>
    <w:p w:rsidR="00FF633C" w:rsidRPr="00210DFB" w:rsidRDefault="00EE3DE2" w:rsidP="00210DFB">
      <w:pPr>
        <w:numPr>
          <w:ilvl w:val="0"/>
          <w:numId w:val="2"/>
        </w:numPr>
        <w:tabs>
          <w:tab w:val="clear" w:pos="585"/>
          <w:tab w:val="num" w:pos="0"/>
          <w:tab w:val="left" w:pos="851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F633C" w:rsidRPr="00210DFB">
        <w:rPr>
          <w:sz w:val="28"/>
          <w:szCs w:val="28"/>
          <w:lang w:val="uk-UA"/>
        </w:rPr>
        <w:t xml:space="preserve">о «Соціальному    захисту     та    соціальному    забезпеченню»  –  661,6  </w:t>
      </w:r>
      <w:proofErr w:type="spellStart"/>
      <w:r w:rsidR="00FF633C" w:rsidRPr="00210DFB">
        <w:rPr>
          <w:sz w:val="28"/>
          <w:szCs w:val="28"/>
          <w:lang w:val="uk-UA"/>
        </w:rPr>
        <w:t>тис.грн</w:t>
      </w:r>
      <w:proofErr w:type="spellEnd"/>
      <w:r w:rsidR="00FF633C" w:rsidRPr="00210DFB">
        <w:rPr>
          <w:sz w:val="28"/>
          <w:szCs w:val="28"/>
          <w:lang w:val="uk-UA"/>
        </w:rPr>
        <w:t>, або 85,9% (власні кошти);</w:t>
      </w:r>
    </w:p>
    <w:p w:rsidR="00FF633C" w:rsidRPr="00210DFB" w:rsidRDefault="00EE3DE2" w:rsidP="00210DFB">
      <w:pPr>
        <w:numPr>
          <w:ilvl w:val="0"/>
          <w:numId w:val="2"/>
        </w:numPr>
        <w:tabs>
          <w:tab w:val="clear" w:pos="585"/>
          <w:tab w:val="num" w:pos="0"/>
          <w:tab w:val="left" w:pos="851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F633C" w:rsidRPr="00210DFB">
        <w:rPr>
          <w:sz w:val="28"/>
          <w:szCs w:val="28"/>
          <w:lang w:val="uk-UA"/>
        </w:rPr>
        <w:t xml:space="preserve">о   «Культурі   і   мистецтву»  -  170,0 тис  грн;  або 162,0%,  з  них  власні  кошти 71,0 </w:t>
      </w:r>
      <w:proofErr w:type="spellStart"/>
      <w:r w:rsidR="00FF633C" w:rsidRPr="00210DFB">
        <w:rPr>
          <w:sz w:val="28"/>
          <w:szCs w:val="28"/>
          <w:lang w:val="uk-UA"/>
        </w:rPr>
        <w:t>тис.грн</w:t>
      </w:r>
      <w:proofErr w:type="spellEnd"/>
      <w:r w:rsidR="00FF633C" w:rsidRPr="00210DFB">
        <w:rPr>
          <w:sz w:val="28"/>
          <w:szCs w:val="28"/>
          <w:lang w:val="uk-UA"/>
        </w:rPr>
        <w:t>;</w:t>
      </w:r>
    </w:p>
    <w:p w:rsidR="00FF633C" w:rsidRPr="00FF633C" w:rsidRDefault="00EE3DE2" w:rsidP="00210DFB">
      <w:pPr>
        <w:numPr>
          <w:ilvl w:val="0"/>
          <w:numId w:val="2"/>
        </w:numPr>
        <w:tabs>
          <w:tab w:val="clear" w:pos="585"/>
          <w:tab w:val="num" w:pos="0"/>
          <w:tab w:val="left" w:pos="851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F633C" w:rsidRPr="00FF633C">
        <w:rPr>
          <w:sz w:val="28"/>
          <w:szCs w:val="28"/>
          <w:lang w:val="uk-UA"/>
        </w:rPr>
        <w:t xml:space="preserve">о «Житлово-комунальному господарству» – 42568,3 </w:t>
      </w:r>
      <w:proofErr w:type="spellStart"/>
      <w:r w:rsidR="00FF633C" w:rsidRPr="00FF633C"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>, або 95,9%;</w:t>
      </w:r>
    </w:p>
    <w:p w:rsidR="00FF633C" w:rsidRPr="00FF633C" w:rsidRDefault="00EE3DE2" w:rsidP="00210DFB">
      <w:pPr>
        <w:numPr>
          <w:ilvl w:val="0"/>
          <w:numId w:val="2"/>
        </w:numPr>
        <w:tabs>
          <w:tab w:val="clear" w:pos="585"/>
          <w:tab w:val="num" w:pos="0"/>
          <w:tab w:val="left" w:pos="851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F633C" w:rsidRPr="00FF633C">
        <w:rPr>
          <w:sz w:val="28"/>
          <w:szCs w:val="28"/>
          <w:lang w:val="uk-UA"/>
        </w:rPr>
        <w:t xml:space="preserve">о «Економічній діяльності» – 31617,9 </w:t>
      </w:r>
      <w:proofErr w:type="spellStart"/>
      <w:r w:rsidR="00FF633C" w:rsidRPr="00FF633C"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>, або 89,1%;</w:t>
      </w:r>
    </w:p>
    <w:p w:rsidR="00FF633C" w:rsidRPr="00FF633C" w:rsidRDefault="00EE3DE2" w:rsidP="00210DFB">
      <w:pPr>
        <w:numPr>
          <w:ilvl w:val="0"/>
          <w:numId w:val="2"/>
        </w:numPr>
        <w:tabs>
          <w:tab w:val="clear" w:pos="585"/>
          <w:tab w:val="num" w:pos="0"/>
          <w:tab w:val="left" w:pos="851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F633C" w:rsidRPr="00FF633C">
        <w:rPr>
          <w:sz w:val="28"/>
          <w:szCs w:val="28"/>
          <w:lang w:val="uk-UA"/>
        </w:rPr>
        <w:t xml:space="preserve">о «Іншій діяльності» - 31881,0 </w:t>
      </w:r>
      <w:proofErr w:type="spellStart"/>
      <w:r w:rsidR="00FF633C" w:rsidRPr="00FF633C"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>, або 81,8%;</w:t>
      </w:r>
    </w:p>
    <w:p w:rsidR="00FF633C" w:rsidRPr="00FF633C" w:rsidRDefault="00C74876" w:rsidP="00C74876">
      <w:pPr>
        <w:numPr>
          <w:ilvl w:val="0"/>
          <w:numId w:val="2"/>
        </w:numPr>
        <w:tabs>
          <w:tab w:val="clear" w:pos="585"/>
          <w:tab w:val="num" w:pos="0"/>
          <w:tab w:val="left" w:pos="851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3DE2">
        <w:rPr>
          <w:sz w:val="28"/>
          <w:szCs w:val="28"/>
          <w:lang w:val="uk-UA"/>
        </w:rPr>
        <w:t>п</w:t>
      </w:r>
      <w:r w:rsidR="00FF633C" w:rsidRPr="00FF633C">
        <w:rPr>
          <w:sz w:val="28"/>
          <w:szCs w:val="28"/>
          <w:lang w:val="uk-UA"/>
        </w:rPr>
        <w:t xml:space="preserve">о «Міжбюджетним трансфертам» - 3231,8 </w:t>
      </w:r>
      <w:proofErr w:type="spellStart"/>
      <w:r w:rsidR="00FF633C" w:rsidRPr="00FF633C">
        <w:rPr>
          <w:sz w:val="28"/>
          <w:szCs w:val="28"/>
          <w:lang w:val="uk-UA"/>
        </w:rPr>
        <w:t>тис.грн</w:t>
      </w:r>
      <w:proofErr w:type="spellEnd"/>
      <w:r w:rsidR="00FF633C" w:rsidRPr="00FF633C">
        <w:rPr>
          <w:sz w:val="28"/>
          <w:szCs w:val="28"/>
          <w:lang w:val="uk-UA"/>
        </w:rPr>
        <w:t>, або 90,4%.</w:t>
      </w:r>
    </w:p>
    <w:p w:rsidR="00FF633C" w:rsidRPr="00FF633C" w:rsidRDefault="00FF633C" w:rsidP="00FF633C">
      <w:pPr>
        <w:jc w:val="both"/>
        <w:rPr>
          <w:b/>
          <w:spacing w:val="-2"/>
          <w:sz w:val="28"/>
          <w:szCs w:val="28"/>
          <w:lang w:val="uk-UA"/>
        </w:rPr>
      </w:pPr>
      <w:r w:rsidRPr="00FF633C">
        <w:rPr>
          <w:b/>
          <w:spacing w:val="-2"/>
          <w:sz w:val="28"/>
          <w:szCs w:val="28"/>
          <w:lang w:val="uk-UA"/>
        </w:rPr>
        <w:t>Заборгованість:</w:t>
      </w:r>
    </w:p>
    <w:p w:rsidR="00FF633C" w:rsidRPr="00FF633C" w:rsidRDefault="00FF633C" w:rsidP="00C74876">
      <w:pPr>
        <w:ind w:firstLine="709"/>
        <w:jc w:val="both"/>
        <w:rPr>
          <w:b/>
          <w:spacing w:val="-2"/>
          <w:sz w:val="28"/>
          <w:szCs w:val="28"/>
          <w:lang w:val="uk-UA"/>
        </w:rPr>
      </w:pPr>
      <w:r w:rsidRPr="00FF633C">
        <w:rPr>
          <w:spacing w:val="-2"/>
          <w:sz w:val="28"/>
          <w:szCs w:val="28"/>
          <w:lang w:val="uk-UA"/>
        </w:rPr>
        <w:t xml:space="preserve">Прострочена кредиторська та дебіторська заборгованість по загальному та спеціальному фонду </w:t>
      </w:r>
      <w:r w:rsidRPr="00FF633C">
        <w:rPr>
          <w:b/>
          <w:spacing w:val="-2"/>
          <w:sz w:val="28"/>
          <w:szCs w:val="28"/>
          <w:lang w:val="uk-UA"/>
        </w:rPr>
        <w:t>відсутня.</w:t>
      </w:r>
    </w:p>
    <w:p w:rsidR="00FF633C" w:rsidRPr="00FF633C" w:rsidRDefault="00FF633C" w:rsidP="00FF633C">
      <w:pPr>
        <w:jc w:val="both"/>
        <w:rPr>
          <w:b/>
          <w:spacing w:val="-2"/>
          <w:sz w:val="28"/>
          <w:szCs w:val="28"/>
          <w:highlight w:val="yellow"/>
          <w:lang w:val="uk-UA"/>
        </w:rPr>
      </w:pPr>
    </w:p>
    <w:p w:rsidR="00FF633C" w:rsidRPr="00FF633C" w:rsidRDefault="00FF633C" w:rsidP="00FF633C">
      <w:pPr>
        <w:numPr>
          <w:ilvl w:val="0"/>
          <w:numId w:val="4"/>
        </w:numPr>
        <w:jc w:val="both"/>
        <w:rPr>
          <w:b/>
          <w:i/>
          <w:sz w:val="28"/>
          <w:szCs w:val="28"/>
          <w:u w:val="single"/>
          <w:lang w:val="uk-UA"/>
        </w:rPr>
      </w:pPr>
      <w:r w:rsidRPr="00FF633C">
        <w:rPr>
          <w:b/>
          <w:i/>
          <w:sz w:val="28"/>
          <w:szCs w:val="28"/>
          <w:u w:val="single"/>
          <w:lang w:val="uk-UA"/>
        </w:rPr>
        <w:t>Загальний фонд: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Станом на 01.01.2024 року кредиторська заборгованість по загальному фонду відсутня.</w:t>
      </w:r>
    </w:p>
    <w:p w:rsidR="00FF633C" w:rsidRPr="00FF633C" w:rsidRDefault="00FF633C" w:rsidP="00FF633C">
      <w:pPr>
        <w:ind w:left="284" w:firstLine="424"/>
        <w:jc w:val="both"/>
        <w:rPr>
          <w:b/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Дебіторська заборгованість </w:t>
      </w:r>
      <w:r w:rsidRPr="00FF633C">
        <w:rPr>
          <w:b/>
          <w:sz w:val="28"/>
          <w:szCs w:val="28"/>
          <w:lang w:val="uk-UA"/>
        </w:rPr>
        <w:t>по загальному фонду:</w:t>
      </w:r>
    </w:p>
    <w:p w:rsidR="00FF633C" w:rsidRPr="00FF633C" w:rsidRDefault="00FF633C" w:rsidP="00C74876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1.</w:t>
      </w:r>
      <w:r w:rsidRPr="00FF633C">
        <w:rPr>
          <w:b/>
          <w:sz w:val="28"/>
          <w:szCs w:val="28"/>
          <w:lang w:val="uk-UA"/>
        </w:rPr>
        <w:t xml:space="preserve"> </w:t>
      </w:r>
      <w:r w:rsidR="00C74876">
        <w:rPr>
          <w:sz w:val="28"/>
          <w:szCs w:val="28"/>
          <w:lang w:val="uk-UA"/>
        </w:rPr>
        <w:t>П</w:t>
      </w:r>
      <w:r w:rsidRPr="00FF633C">
        <w:rPr>
          <w:sz w:val="28"/>
          <w:szCs w:val="28"/>
          <w:lang w:val="uk-UA"/>
        </w:rPr>
        <w:t>о галузі «Державне управління» КПКВ 0110150 КЕКВ 2240 – 3250 грн. – заборгованість, яка виникла по оплаті послуг технічного обслуговування системи охоронної сигналізації приміщень з ознакою «попередня оплата». Протягом січня</w:t>
      </w:r>
      <w:r w:rsidR="00C74876">
        <w:rPr>
          <w:sz w:val="28"/>
          <w:szCs w:val="28"/>
          <w:lang w:val="uk-UA"/>
        </w:rPr>
        <w:t xml:space="preserve"> 2024р. заборгованість погашена.</w:t>
      </w:r>
    </w:p>
    <w:p w:rsidR="00FF633C" w:rsidRPr="00FF633C" w:rsidRDefault="00C74876" w:rsidP="00C7487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</w:t>
      </w:r>
      <w:r w:rsidR="00FF633C" w:rsidRPr="00FF633C">
        <w:rPr>
          <w:sz w:val="28"/>
          <w:szCs w:val="28"/>
          <w:lang w:val="uk-UA"/>
        </w:rPr>
        <w:t>о галузі «Освіта»:</w:t>
      </w:r>
    </w:p>
    <w:p w:rsidR="00FF633C" w:rsidRPr="00FF633C" w:rsidRDefault="00FF633C" w:rsidP="00C74876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КПКВ 0611021 КЕКВ 2240 в сумі 2917,32 грн. – це передплата фахових видань, яка буде погашена по закінченню періоду підписки; КЕКВ 2274 в сумі 521447,45 грн. – по оплаті за природний газ, яка здійснювалась згідно Акту приймання-передачі природного газу, який надається споживачам 11-15 числа кожного місяця (для можливості здійснення оплати у грудні за поставлений природний газ постачальник направив рахунок-фактуру, сформований на підставі замовленого на грудень обсягу, тобто на підставі прописаних у договорі замовлених обсягів на грудень). Тому</w:t>
      </w:r>
      <w:r w:rsidR="00EE3DE2">
        <w:rPr>
          <w:sz w:val="28"/>
          <w:szCs w:val="28"/>
          <w:lang w:val="uk-UA"/>
        </w:rPr>
        <w:t>,</w:t>
      </w:r>
      <w:r w:rsidRPr="00FF633C">
        <w:rPr>
          <w:sz w:val="28"/>
          <w:szCs w:val="28"/>
          <w:lang w:val="uk-UA"/>
        </w:rPr>
        <w:t xml:space="preserve"> згідно постанови КМУ від 04.12.2019 № 1070 «Деякі питання здійснення розпорядниками (одержувачами) бюджетних коштів попередньої оплати </w:t>
      </w:r>
      <w:r w:rsidRPr="00FF633C">
        <w:rPr>
          <w:sz w:val="28"/>
          <w:szCs w:val="28"/>
          <w:lang w:val="uk-UA"/>
        </w:rPr>
        <w:lastRenderedPageBreak/>
        <w:t>товарів, робіт і послуг, що закуповуються за бюджетні кошти»</w:t>
      </w:r>
      <w:r w:rsidR="00EE3DE2">
        <w:rPr>
          <w:sz w:val="28"/>
          <w:szCs w:val="28"/>
          <w:lang w:val="uk-UA"/>
        </w:rPr>
        <w:t>,</w:t>
      </w:r>
      <w:r w:rsidRPr="00FF633C">
        <w:rPr>
          <w:sz w:val="28"/>
          <w:szCs w:val="28"/>
          <w:lang w:val="uk-UA"/>
        </w:rPr>
        <w:t xml:space="preserve"> була здійснена попередня оплата за природний газ, яка була менша ніж замовлена у договорі. Погашення заборгованості очікується до 01.03.2024р. </w:t>
      </w:r>
    </w:p>
    <w:p w:rsidR="00FF633C" w:rsidRPr="00FF633C" w:rsidRDefault="00FF633C" w:rsidP="00C74876">
      <w:pPr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КПКВ 1011070 КЕКВ 2274 в сумі 37312,46 грн. та по КПКВ 1014030 КЕКВ 2274 в сумі 23920,37</w:t>
      </w:r>
      <w:r w:rsidR="00EE3DE2">
        <w:rPr>
          <w:sz w:val="28"/>
          <w:szCs w:val="28"/>
          <w:lang w:val="uk-UA"/>
        </w:rPr>
        <w:t xml:space="preserve"> грн.</w:t>
      </w:r>
      <w:r w:rsidRPr="00FF633C">
        <w:rPr>
          <w:sz w:val="28"/>
          <w:szCs w:val="28"/>
          <w:lang w:val="uk-UA"/>
        </w:rPr>
        <w:t xml:space="preserve">  - оплата в грудні 2023р. за природний газ (відповідно до умов розрахунків з постачальником кожна установа повинна оплатити кошти за спожитий газ в звітному періоді до 15 числа наступного місяця, але оскільки договір 2023р. діє до 31.12.2023р., розрахунки за останній місяць для виконання умов договору здійснилися по рахунку-фактурі за даний період як попередня оплата. Коригування дебіторської заборгованості відбулося в січні 2024р. органами ГУДКСУ).</w:t>
      </w:r>
    </w:p>
    <w:p w:rsidR="00FF633C" w:rsidRPr="00FF633C" w:rsidRDefault="00FF633C" w:rsidP="00FF633C">
      <w:pPr>
        <w:jc w:val="both"/>
        <w:rPr>
          <w:sz w:val="28"/>
          <w:szCs w:val="28"/>
          <w:highlight w:val="yellow"/>
          <w:lang w:val="uk-UA"/>
        </w:rPr>
      </w:pPr>
    </w:p>
    <w:p w:rsidR="00FF633C" w:rsidRPr="00FF633C" w:rsidRDefault="00FF633C" w:rsidP="00FF633C">
      <w:pPr>
        <w:numPr>
          <w:ilvl w:val="0"/>
          <w:numId w:val="4"/>
        </w:numPr>
        <w:jc w:val="both"/>
        <w:rPr>
          <w:b/>
          <w:i/>
          <w:sz w:val="28"/>
          <w:szCs w:val="28"/>
          <w:u w:val="single"/>
          <w:lang w:val="en-US"/>
        </w:rPr>
      </w:pPr>
      <w:r w:rsidRPr="00FF633C">
        <w:rPr>
          <w:b/>
          <w:i/>
          <w:sz w:val="28"/>
          <w:szCs w:val="28"/>
          <w:u w:val="single"/>
          <w:lang w:val="uk-UA"/>
        </w:rPr>
        <w:t>Спеціальний фонд:</w:t>
      </w:r>
    </w:p>
    <w:p w:rsidR="00FF633C" w:rsidRPr="00FF633C" w:rsidRDefault="00FF633C" w:rsidP="00FF633C">
      <w:pPr>
        <w:ind w:left="1428"/>
        <w:jc w:val="both"/>
        <w:rPr>
          <w:sz w:val="28"/>
          <w:szCs w:val="28"/>
          <w:highlight w:val="yellow"/>
          <w:lang w:val="en-US"/>
        </w:rPr>
      </w:pP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Станом на 01.01.2024 року кредиторська заборгованість відсутня.  </w:t>
      </w:r>
    </w:p>
    <w:p w:rsidR="00FF633C" w:rsidRPr="00FF633C" w:rsidRDefault="00FF633C" w:rsidP="00FF633C">
      <w:pPr>
        <w:ind w:firstLine="708"/>
        <w:jc w:val="both"/>
        <w:rPr>
          <w:spacing w:val="-2"/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Дебіторська заборгованість: по КПКВ 0611010 (надання дошкільної освіти)  – 33129,68 грн., КПКВ 0611021 (надання загальної середньої освіти закладами загальної середньої освіти) – 42547,41 грн., КПКВ 1011070 (надання позашкільної освіти закладами позашкільної освіти, заходи із позашкільної роботи з дітьми) – 4221,00 грн. Дебіторська заборгованість зумовлена заборгованістю по батьківській платі. З метою недопущення прострочення дебіторської заборгованості відповідними розпорядниками </w:t>
      </w:r>
      <w:r w:rsidR="00524C2D">
        <w:rPr>
          <w:sz w:val="28"/>
          <w:szCs w:val="28"/>
          <w:lang w:val="uk-UA"/>
        </w:rPr>
        <w:t xml:space="preserve">коштів </w:t>
      </w:r>
      <w:r w:rsidRPr="00FF633C">
        <w:rPr>
          <w:sz w:val="28"/>
          <w:szCs w:val="28"/>
          <w:lang w:val="uk-UA"/>
        </w:rPr>
        <w:t xml:space="preserve">ведеться робота по стягненню боргів з батьківської плати та погашення зазначеної заборгованості  у найкоротші строки.  </w:t>
      </w:r>
    </w:p>
    <w:p w:rsidR="00FF633C" w:rsidRPr="00FF633C" w:rsidRDefault="00FF633C" w:rsidP="00FF633C">
      <w:pPr>
        <w:ind w:firstLine="708"/>
        <w:jc w:val="both"/>
        <w:rPr>
          <w:spacing w:val="-2"/>
          <w:sz w:val="28"/>
          <w:szCs w:val="28"/>
          <w:highlight w:val="yellow"/>
          <w:lang w:val="uk-UA"/>
        </w:rPr>
      </w:pPr>
    </w:p>
    <w:p w:rsidR="00FF633C" w:rsidRPr="00FF633C" w:rsidRDefault="00FF633C" w:rsidP="00FF633C">
      <w:pPr>
        <w:jc w:val="both"/>
        <w:rPr>
          <w:b/>
          <w:spacing w:val="-2"/>
          <w:sz w:val="28"/>
          <w:szCs w:val="28"/>
          <w:lang w:val="uk-UA"/>
        </w:rPr>
      </w:pPr>
      <w:r w:rsidRPr="00FF633C">
        <w:rPr>
          <w:b/>
          <w:spacing w:val="-2"/>
          <w:sz w:val="28"/>
          <w:szCs w:val="28"/>
          <w:lang w:val="en-US"/>
        </w:rPr>
        <w:t>III</w:t>
      </w:r>
      <w:proofErr w:type="gramStart"/>
      <w:r w:rsidRPr="00FF633C">
        <w:rPr>
          <w:b/>
          <w:spacing w:val="-2"/>
          <w:sz w:val="28"/>
          <w:szCs w:val="28"/>
          <w:lang w:val="uk-UA"/>
        </w:rPr>
        <w:t>.  Фінансування</w:t>
      </w:r>
      <w:proofErr w:type="gramEnd"/>
      <w:r w:rsidRPr="00FF633C">
        <w:rPr>
          <w:b/>
          <w:spacing w:val="-2"/>
          <w:sz w:val="28"/>
          <w:szCs w:val="28"/>
          <w:lang w:val="uk-UA"/>
        </w:rPr>
        <w:t>.</w:t>
      </w:r>
    </w:p>
    <w:p w:rsidR="00FF633C" w:rsidRPr="00FF633C" w:rsidRDefault="00FF633C" w:rsidP="00FF633C">
      <w:pPr>
        <w:jc w:val="both"/>
        <w:rPr>
          <w:b/>
          <w:spacing w:val="-2"/>
          <w:sz w:val="28"/>
          <w:szCs w:val="28"/>
          <w:highlight w:val="yellow"/>
          <w:lang w:val="uk-UA"/>
        </w:rPr>
      </w:pPr>
    </w:p>
    <w:p w:rsidR="00FF633C" w:rsidRPr="00FF633C" w:rsidRDefault="00FF633C" w:rsidP="00FF633C">
      <w:pPr>
        <w:ind w:firstLine="708"/>
        <w:jc w:val="both"/>
        <w:rPr>
          <w:spacing w:val="-2"/>
          <w:sz w:val="28"/>
          <w:szCs w:val="28"/>
          <w:lang w:val="uk-UA"/>
        </w:rPr>
      </w:pPr>
      <w:r w:rsidRPr="00FF633C">
        <w:rPr>
          <w:spacing w:val="-2"/>
          <w:sz w:val="28"/>
          <w:szCs w:val="28"/>
          <w:lang w:val="uk-UA"/>
        </w:rPr>
        <w:t>Розписом видатків на 2023 рік передбачено профіцит загального фонду місцевого бюджету з урахуванням суми міжбюджетних трансфертів в розмірі      64 049 177,38 грн. та дефіцит спеціального фонду місцевого бюджету з урахуванням суми міжбюджетних трансфертів в розмірі -</w:t>
      </w:r>
      <w:r w:rsidR="000E7A40">
        <w:rPr>
          <w:spacing w:val="-2"/>
          <w:sz w:val="28"/>
          <w:szCs w:val="28"/>
          <w:lang w:val="uk-UA"/>
        </w:rPr>
        <w:t xml:space="preserve"> </w:t>
      </w:r>
      <w:r w:rsidRPr="00FF633C">
        <w:rPr>
          <w:spacing w:val="-2"/>
          <w:sz w:val="28"/>
          <w:szCs w:val="28"/>
          <w:lang w:val="uk-UA"/>
        </w:rPr>
        <w:t>119 382 811,67 грн. джерелом покриття якого є залишок бюджетних коштів на початок року та кошти із загального фонду бюджету. Фактично дефіцит спеціального фонду бюджету склав -</w:t>
      </w:r>
      <w:r w:rsidR="000E7A40">
        <w:rPr>
          <w:spacing w:val="-2"/>
          <w:sz w:val="28"/>
          <w:szCs w:val="28"/>
          <w:lang w:val="uk-UA"/>
        </w:rPr>
        <w:t xml:space="preserve"> </w:t>
      </w:r>
      <w:r w:rsidRPr="00FF633C">
        <w:rPr>
          <w:spacing w:val="-2"/>
          <w:sz w:val="28"/>
          <w:szCs w:val="28"/>
          <w:lang w:val="uk-UA"/>
        </w:rPr>
        <w:t>105 816 850,52 грн.</w:t>
      </w:r>
    </w:p>
    <w:p w:rsidR="00FF633C" w:rsidRPr="00FF633C" w:rsidRDefault="00FF633C" w:rsidP="00FF633C">
      <w:pPr>
        <w:ind w:firstLine="708"/>
        <w:jc w:val="both"/>
        <w:rPr>
          <w:spacing w:val="-2"/>
          <w:sz w:val="28"/>
          <w:szCs w:val="28"/>
          <w:lang w:val="uk-UA"/>
        </w:rPr>
      </w:pPr>
      <w:r w:rsidRPr="00FF633C">
        <w:rPr>
          <w:spacing w:val="-2"/>
          <w:sz w:val="28"/>
          <w:szCs w:val="28"/>
          <w:lang w:val="uk-UA"/>
        </w:rPr>
        <w:t>В головному управлінні Державної казначейської служби позика на покриття тимчасових касових розривів місцевих бюджетів не отримувалась.</w:t>
      </w:r>
    </w:p>
    <w:p w:rsidR="00FF633C" w:rsidRPr="00FF633C" w:rsidRDefault="00FF633C" w:rsidP="00FF633C">
      <w:pPr>
        <w:jc w:val="both"/>
        <w:rPr>
          <w:spacing w:val="-2"/>
          <w:sz w:val="28"/>
          <w:szCs w:val="28"/>
          <w:lang w:val="uk-UA"/>
        </w:rPr>
      </w:pPr>
      <w:r w:rsidRPr="00FF633C">
        <w:rPr>
          <w:spacing w:val="-2"/>
          <w:sz w:val="28"/>
          <w:szCs w:val="28"/>
          <w:lang w:val="uk-UA"/>
        </w:rPr>
        <w:tab/>
        <w:t>Кошти на вклади депозитних рахунків протягом звітного періоду 2023 року не розміщувались.</w:t>
      </w:r>
    </w:p>
    <w:p w:rsidR="00FF633C" w:rsidRPr="00FF633C" w:rsidRDefault="00FF633C" w:rsidP="00FF633C">
      <w:pPr>
        <w:jc w:val="both"/>
        <w:rPr>
          <w:spacing w:val="-2"/>
          <w:sz w:val="28"/>
          <w:szCs w:val="28"/>
          <w:highlight w:val="yellow"/>
          <w:lang w:val="uk-UA"/>
        </w:rPr>
      </w:pPr>
    </w:p>
    <w:p w:rsidR="00FF633C" w:rsidRPr="00FF633C" w:rsidRDefault="00FF633C" w:rsidP="00FF633C">
      <w:pPr>
        <w:jc w:val="both"/>
        <w:rPr>
          <w:b/>
          <w:spacing w:val="-2"/>
          <w:sz w:val="28"/>
          <w:szCs w:val="28"/>
          <w:lang w:val="uk-UA"/>
        </w:rPr>
      </w:pPr>
      <w:r w:rsidRPr="00FF633C">
        <w:rPr>
          <w:b/>
          <w:spacing w:val="-2"/>
          <w:sz w:val="28"/>
          <w:szCs w:val="28"/>
          <w:lang w:val="en-US"/>
        </w:rPr>
        <w:t>IV</w:t>
      </w:r>
      <w:proofErr w:type="gramStart"/>
      <w:r w:rsidRPr="00FF633C">
        <w:rPr>
          <w:b/>
          <w:spacing w:val="-2"/>
          <w:sz w:val="28"/>
          <w:szCs w:val="28"/>
          <w:lang w:val="uk-UA"/>
        </w:rPr>
        <w:t>.  Кредитування</w:t>
      </w:r>
      <w:proofErr w:type="gramEnd"/>
      <w:r w:rsidRPr="00FF633C">
        <w:rPr>
          <w:b/>
          <w:spacing w:val="-2"/>
          <w:sz w:val="28"/>
          <w:szCs w:val="28"/>
          <w:lang w:val="uk-UA"/>
        </w:rPr>
        <w:t xml:space="preserve">. </w:t>
      </w:r>
    </w:p>
    <w:p w:rsidR="00FF633C" w:rsidRPr="00FF633C" w:rsidRDefault="00FF633C" w:rsidP="00FF633C">
      <w:pPr>
        <w:jc w:val="both"/>
        <w:rPr>
          <w:b/>
          <w:spacing w:val="-2"/>
          <w:sz w:val="28"/>
          <w:szCs w:val="28"/>
          <w:lang w:val="uk-UA"/>
        </w:rPr>
      </w:pPr>
    </w:p>
    <w:p w:rsidR="00FF633C" w:rsidRPr="00FF633C" w:rsidRDefault="00FF633C" w:rsidP="000E7A40">
      <w:pPr>
        <w:ind w:firstLine="709"/>
        <w:jc w:val="both"/>
        <w:rPr>
          <w:spacing w:val="-2"/>
          <w:sz w:val="28"/>
          <w:szCs w:val="28"/>
          <w:lang w:val="uk-UA"/>
        </w:rPr>
      </w:pPr>
      <w:r w:rsidRPr="00FF633C">
        <w:rPr>
          <w:spacing w:val="-2"/>
          <w:sz w:val="28"/>
          <w:szCs w:val="28"/>
          <w:lang w:val="uk-UA"/>
        </w:rPr>
        <w:t xml:space="preserve">Розписом коштів на 2023 рік  пільгове кредитування  не передбачалось. </w:t>
      </w:r>
    </w:p>
    <w:p w:rsidR="00FF633C" w:rsidRPr="00FF633C" w:rsidRDefault="00FF633C" w:rsidP="00FF633C">
      <w:pPr>
        <w:jc w:val="both"/>
        <w:rPr>
          <w:b/>
          <w:color w:val="FF0000"/>
          <w:spacing w:val="-2"/>
          <w:sz w:val="28"/>
          <w:szCs w:val="28"/>
          <w:highlight w:val="cyan"/>
          <w:lang w:val="uk-UA"/>
        </w:rPr>
      </w:pPr>
    </w:p>
    <w:p w:rsidR="00FF633C" w:rsidRPr="00FF633C" w:rsidRDefault="00FF633C" w:rsidP="00FF633C">
      <w:pPr>
        <w:jc w:val="both"/>
        <w:rPr>
          <w:b/>
          <w:spacing w:val="-2"/>
          <w:sz w:val="28"/>
          <w:szCs w:val="28"/>
          <w:lang w:val="uk-UA"/>
        </w:rPr>
      </w:pPr>
      <w:r w:rsidRPr="00FF633C">
        <w:rPr>
          <w:b/>
          <w:spacing w:val="-2"/>
          <w:sz w:val="28"/>
          <w:szCs w:val="28"/>
        </w:rPr>
        <w:t>V</w:t>
      </w:r>
      <w:r w:rsidRPr="00FF633C">
        <w:rPr>
          <w:b/>
          <w:spacing w:val="-2"/>
          <w:sz w:val="28"/>
          <w:szCs w:val="28"/>
          <w:lang w:val="uk-UA"/>
        </w:rPr>
        <w:t xml:space="preserve">. Міжбюджетні </w:t>
      </w:r>
      <w:proofErr w:type="spellStart"/>
      <w:r w:rsidRPr="00FF633C">
        <w:rPr>
          <w:b/>
          <w:spacing w:val="-2"/>
          <w:sz w:val="28"/>
          <w:szCs w:val="28"/>
          <w:lang w:val="uk-UA"/>
        </w:rPr>
        <w:t>трасферти</w:t>
      </w:r>
      <w:proofErr w:type="spellEnd"/>
      <w:r w:rsidRPr="00FF633C">
        <w:rPr>
          <w:b/>
          <w:spacing w:val="-2"/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left="326"/>
        <w:jc w:val="both"/>
        <w:rPr>
          <w:color w:val="002060"/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ab/>
      </w:r>
    </w:p>
    <w:p w:rsidR="00FF633C" w:rsidRPr="00FF633C" w:rsidRDefault="00FF633C" w:rsidP="00A62A67">
      <w:pPr>
        <w:tabs>
          <w:tab w:val="left" w:pos="993"/>
          <w:tab w:val="left" w:pos="5380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lastRenderedPageBreak/>
        <w:t xml:space="preserve">Офіційних трансфертів отримано </w:t>
      </w:r>
      <w:r w:rsidRPr="00FF633C">
        <w:rPr>
          <w:spacing w:val="-2"/>
          <w:sz w:val="28"/>
          <w:szCs w:val="28"/>
          <w:lang w:val="uk-UA"/>
        </w:rPr>
        <w:t xml:space="preserve">протягом звітного року в розмірі  76148,3 тис. грн., в </w:t>
      </w:r>
      <w:proofErr w:type="spellStart"/>
      <w:r w:rsidRPr="00FF633C">
        <w:rPr>
          <w:spacing w:val="-2"/>
          <w:sz w:val="28"/>
          <w:szCs w:val="28"/>
          <w:lang w:val="uk-UA"/>
        </w:rPr>
        <w:t>т.ч</w:t>
      </w:r>
      <w:proofErr w:type="spellEnd"/>
      <w:r w:rsidRPr="00FF633C">
        <w:rPr>
          <w:spacing w:val="-2"/>
          <w:sz w:val="28"/>
          <w:szCs w:val="28"/>
          <w:lang w:val="uk-UA"/>
        </w:rPr>
        <w:t>. в І</w:t>
      </w:r>
      <w:r w:rsidRPr="00FF633C">
        <w:rPr>
          <w:spacing w:val="-2"/>
          <w:sz w:val="28"/>
          <w:szCs w:val="28"/>
          <w:lang w:val="en-US"/>
        </w:rPr>
        <w:t>V</w:t>
      </w:r>
      <w:r w:rsidRPr="00FF633C">
        <w:rPr>
          <w:spacing w:val="-2"/>
          <w:sz w:val="28"/>
          <w:szCs w:val="28"/>
          <w:lang w:val="uk-UA"/>
        </w:rPr>
        <w:t xml:space="preserve"> кварталі 2023 року</w:t>
      </w:r>
      <w:r w:rsidRPr="00FF633C">
        <w:rPr>
          <w:sz w:val="28"/>
          <w:szCs w:val="28"/>
          <w:lang w:val="uk-UA"/>
        </w:rPr>
        <w:t xml:space="preserve"> – 17758,1 тис. грн. </w:t>
      </w:r>
    </w:p>
    <w:p w:rsidR="00FF633C" w:rsidRPr="00FF633C" w:rsidRDefault="00FF633C" w:rsidP="00A62A67">
      <w:pPr>
        <w:tabs>
          <w:tab w:val="left" w:pos="993"/>
        </w:tabs>
        <w:ind w:firstLine="709"/>
        <w:jc w:val="both"/>
        <w:rPr>
          <w:b/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Надійшло з початку 2023 року:</w:t>
      </w:r>
    </w:p>
    <w:p w:rsidR="00FF633C" w:rsidRPr="00FF633C" w:rsidRDefault="00FF633C" w:rsidP="00A62A67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освітня субвенція з державного бюджету місцевим бюджетам –                      49922,9 тис. грн. (100% до плану);</w:t>
      </w:r>
    </w:p>
    <w:p w:rsidR="00FF633C" w:rsidRPr="00FF633C" w:rsidRDefault="00FF633C" w:rsidP="00A62A67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базова дотація – 24471,1 тис. грн. (100% до плану);</w:t>
      </w:r>
    </w:p>
    <w:p w:rsidR="00FF633C" w:rsidRPr="00FF633C" w:rsidRDefault="00FF633C" w:rsidP="00A62A67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</w:t>
      </w:r>
      <w:r w:rsidRPr="00FF633C">
        <w:rPr>
          <w:spacing w:val="-2"/>
          <w:sz w:val="28"/>
          <w:szCs w:val="28"/>
          <w:lang w:val="uk-UA"/>
        </w:rPr>
        <w:t>інші субвенції з місцевого бюджету – 689,8 тис. грн. (</w:t>
      </w:r>
      <w:r w:rsidRPr="00FF633C">
        <w:rPr>
          <w:sz w:val="28"/>
          <w:szCs w:val="28"/>
          <w:lang w:val="uk-UA"/>
        </w:rPr>
        <w:t>100% до плану).</w:t>
      </w:r>
    </w:p>
    <w:p w:rsidR="00FF633C" w:rsidRPr="00FF633C" w:rsidRDefault="00FF633C" w:rsidP="00A62A6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Не</w:t>
      </w:r>
      <w:r w:rsidR="00C03DD1">
        <w:rPr>
          <w:sz w:val="28"/>
          <w:szCs w:val="28"/>
          <w:lang w:val="uk-UA"/>
        </w:rPr>
        <w:t>доотримано за звітний  2023 рік</w:t>
      </w:r>
      <w:r w:rsidRPr="00FF633C">
        <w:rPr>
          <w:sz w:val="28"/>
          <w:szCs w:val="28"/>
          <w:lang w:val="uk-UA"/>
        </w:rPr>
        <w:t>:</w:t>
      </w:r>
    </w:p>
    <w:p w:rsidR="00FF633C" w:rsidRPr="00FF633C" w:rsidRDefault="00FF633C" w:rsidP="00A62A6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субвенції з місцевого бюджету на здійснення переданих видатків у сфері освіти за рахунок коштів освітньої субвенції:</w:t>
      </w:r>
      <w:r w:rsidRPr="00FF633C">
        <w:rPr>
          <w:spacing w:val="-2"/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>фактично надійшло – 760,85  тис. грн.</w:t>
      </w:r>
      <w:r w:rsidR="00524C2D">
        <w:rPr>
          <w:sz w:val="28"/>
          <w:szCs w:val="28"/>
          <w:lang w:val="uk-UA"/>
        </w:rPr>
        <w:t>,</w:t>
      </w:r>
      <w:r w:rsidRPr="00FF633C">
        <w:rPr>
          <w:sz w:val="28"/>
          <w:szCs w:val="28"/>
          <w:lang w:val="uk-UA"/>
        </w:rPr>
        <w:t xml:space="preserve"> або 62,27%, недоотримано</w:t>
      </w:r>
      <w:r w:rsidR="00A62A67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>– 461,0 тис. грн.;</w:t>
      </w:r>
    </w:p>
    <w:p w:rsidR="00FF633C" w:rsidRPr="00FF633C" w:rsidRDefault="00FF633C" w:rsidP="00A62A6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бюджету: </w:t>
      </w:r>
      <w:r w:rsidR="00524C2D">
        <w:rPr>
          <w:sz w:val="28"/>
          <w:szCs w:val="28"/>
          <w:lang w:val="uk-UA"/>
        </w:rPr>
        <w:t xml:space="preserve">фактично надійшло – 150,7  </w:t>
      </w:r>
      <w:proofErr w:type="spellStart"/>
      <w:r w:rsidR="00524C2D">
        <w:rPr>
          <w:sz w:val="28"/>
          <w:szCs w:val="28"/>
          <w:lang w:val="uk-UA"/>
        </w:rPr>
        <w:t>тис.</w:t>
      </w:r>
      <w:r w:rsidRPr="00FF633C">
        <w:rPr>
          <w:sz w:val="28"/>
          <w:szCs w:val="28"/>
          <w:lang w:val="uk-UA"/>
        </w:rPr>
        <w:t>грн</w:t>
      </w:r>
      <w:proofErr w:type="spellEnd"/>
      <w:r w:rsidRPr="00FF633C">
        <w:rPr>
          <w:sz w:val="28"/>
          <w:szCs w:val="28"/>
          <w:lang w:val="uk-UA"/>
        </w:rPr>
        <w:t>. або 98,33%, недоотримано</w:t>
      </w:r>
      <w:r w:rsidR="00C03DD1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>– 2,6 тис. грн.;</w:t>
      </w:r>
    </w:p>
    <w:p w:rsidR="00FF633C" w:rsidRPr="00FF633C" w:rsidRDefault="00FF633C" w:rsidP="00A62A6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субвенції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періоду: фактично надійшло </w:t>
      </w:r>
      <w:r w:rsidRPr="00FF633C">
        <w:rPr>
          <w:spacing w:val="-2"/>
          <w:sz w:val="28"/>
          <w:szCs w:val="28"/>
          <w:lang w:val="uk-UA"/>
        </w:rPr>
        <w:t xml:space="preserve">– 118,6 </w:t>
      </w:r>
      <w:proofErr w:type="spellStart"/>
      <w:r w:rsidRPr="00FF633C">
        <w:rPr>
          <w:spacing w:val="-2"/>
          <w:sz w:val="28"/>
          <w:szCs w:val="28"/>
          <w:lang w:val="uk-UA"/>
        </w:rPr>
        <w:t>тис.грн</w:t>
      </w:r>
      <w:proofErr w:type="spellEnd"/>
      <w:r w:rsidRPr="00FF633C">
        <w:rPr>
          <w:spacing w:val="-2"/>
          <w:sz w:val="28"/>
          <w:szCs w:val="28"/>
          <w:lang w:val="uk-UA"/>
        </w:rPr>
        <w:t xml:space="preserve">. </w:t>
      </w:r>
      <w:r w:rsidRPr="00FF633C">
        <w:rPr>
          <w:sz w:val="28"/>
          <w:szCs w:val="28"/>
          <w:lang w:val="uk-UA"/>
        </w:rPr>
        <w:t>або 98,89%, недоотримано– 1,3 тис. грн.;</w:t>
      </w:r>
    </w:p>
    <w:p w:rsidR="00FF633C" w:rsidRPr="00FF633C" w:rsidRDefault="00FF633C" w:rsidP="00A62A67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- 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бюджету: фактично надійшло </w:t>
      </w:r>
      <w:r w:rsidRPr="00FF633C">
        <w:rPr>
          <w:spacing w:val="-2"/>
          <w:sz w:val="28"/>
          <w:szCs w:val="28"/>
          <w:lang w:val="uk-UA"/>
        </w:rPr>
        <w:t xml:space="preserve">– 34,3 </w:t>
      </w:r>
      <w:proofErr w:type="spellStart"/>
      <w:r w:rsidRPr="00FF633C">
        <w:rPr>
          <w:spacing w:val="-2"/>
          <w:sz w:val="28"/>
          <w:szCs w:val="28"/>
          <w:lang w:val="uk-UA"/>
        </w:rPr>
        <w:t>тис.грн</w:t>
      </w:r>
      <w:proofErr w:type="spellEnd"/>
      <w:r w:rsidRPr="00FF633C">
        <w:rPr>
          <w:spacing w:val="-2"/>
          <w:sz w:val="28"/>
          <w:szCs w:val="28"/>
          <w:lang w:val="uk-UA"/>
        </w:rPr>
        <w:t xml:space="preserve">. </w:t>
      </w:r>
      <w:r w:rsidRPr="00FF633C">
        <w:rPr>
          <w:sz w:val="28"/>
          <w:szCs w:val="28"/>
          <w:lang w:val="uk-UA"/>
        </w:rPr>
        <w:t>або 35%, недоотримано</w:t>
      </w:r>
      <w:r w:rsidR="00C03DD1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>– 63,8 тис. грн.</w:t>
      </w:r>
    </w:p>
    <w:p w:rsidR="00FF633C" w:rsidRPr="00FF633C" w:rsidRDefault="00FF633C" w:rsidP="00FF633C">
      <w:pPr>
        <w:tabs>
          <w:tab w:val="left" w:pos="5380"/>
        </w:tabs>
        <w:jc w:val="both"/>
        <w:rPr>
          <w:sz w:val="28"/>
          <w:szCs w:val="28"/>
          <w:highlight w:val="yellow"/>
          <w:lang w:val="uk-UA"/>
        </w:rPr>
      </w:pPr>
    </w:p>
    <w:p w:rsidR="00FF633C" w:rsidRPr="00FF633C" w:rsidRDefault="00FF633C" w:rsidP="00FF633C">
      <w:pPr>
        <w:jc w:val="both"/>
        <w:rPr>
          <w:b/>
          <w:spacing w:val="-2"/>
          <w:sz w:val="28"/>
          <w:szCs w:val="28"/>
          <w:lang w:val="uk-UA"/>
        </w:rPr>
      </w:pPr>
      <w:r w:rsidRPr="00FF633C">
        <w:rPr>
          <w:b/>
          <w:spacing w:val="-2"/>
          <w:sz w:val="28"/>
          <w:szCs w:val="28"/>
        </w:rPr>
        <w:t>V</w:t>
      </w:r>
      <w:r w:rsidRPr="00FF633C">
        <w:rPr>
          <w:b/>
          <w:spacing w:val="-2"/>
          <w:sz w:val="28"/>
          <w:szCs w:val="28"/>
          <w:lang w:val="uk-UA"/>
        </w:rPr>
        <w:t>І. Мережа, штати та контингенти бюджетних установ</w:t>
      </w:r>
    </w:p>
    <w:p w:rsidR="00FF633C" w:rsidRPr="00FF633C" w:rsidRDefault="00FF633C" w:rsidP="00FF633C">
      <w:pPr>
        <w:jc w:val="both"/>
        <w:rPr>
          <w:b/>
          <w:spacing w:val="-2"/>
          <w:sz w:val="28"/>
          <w:szCs w:val="28"/>
          <w:lang w:val="uk-UA"/>
        </w:rPr>
      </w:pPr>
      <w:r w:rsidRPr="00FF633C">
        <w:rPr>
          <w:b/>
          <w:spacing w:val="-2"/>
          <w:sz w:val="28"/>
          <w:szCs w:val="28"/>
          <w:lang w:val="uk-UA"/>
        </w:rPr>
        <w:tab/>
      </w:r>
    </w:p>
    <w:p w:rsidR="00FF633C" w:rsidRPr="00FF633C" w:rsidRDefault="00FF633C" w:rsidP="00FF633C">
      <w:pPr>
        <w:ind w:firstLine="708"/>
        <w:jc w:val="both"/>
        <w:rPr>
          <w:b/>
          <w:spacing w:val="-2"/>
          <w:sz w:val="28"/>
          <w:szCs w:val="28"/>
          <w:lang w:val="uk-UA"/>
        </w:rPr>
      </w:pPr>
      <w:r w:rsidRPr="00FF633C">
        <w:rPr>
          <w:b/>
          <w:spacing w:val="-2"/>
          <w:sz w:val="28"/>
          <w:szCs w:val="28"/>
          <w:lang w:val="uk-UA"/>
        </w:rPr>
        <w:t>Галузь «Державне управління»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Станом на кінець 2023 року штатна чисельність працівників органів місцевого самоврядування не змінилась, та склала 112 штатних одиниць. Фактично зайнятих</w:t>
      </w:r>
      <w:r w:rsidR="00C03DD1">
        <w:rPr>
          <w:sz w:val="28"/>
          <w:szCs w:val="28"/>
          <w:lang w:val="uk-UA"/>
        </w:rPr>
        <w:t xml:space="preserve"> -</w:t>
      </w:r>
      <w:r w:rsidRPr="00FF633C">
        <w:rPr>
          <w:sz w:val="28"/>
          <w:szCs w:val="28"/>
          <w:lang w:val="uk-UA"/>
        </w:rPr>
        <w:t xml:space="preserve"> 101 штатн</w:t>
      </w:r>
      <w:r w:rsidR="00C03DD1">
        <w:rPr>
          <w:sz w:val="28"/>
          <w:szCs w:val="28"/>
          <w:lang w:val="uk-UA"/>
        </w:rPr>
        <w:t>а одиниця</w:t>
      </w:r>
      <w:r w:rsidRPr="00FF633C">
        <w:rPr>
          <w:sz w:val="28"/>
          <w:szCs w:val="28"/>
          <w:lang w:val="uk-UA"/>
        </w:rPr>
        <w:t>, в тому числі: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по КПКВ 0150 «Організаційне, інфор</w:t>
      </w:r>
      <w:r w:rsidR="00C03DD1">
        <w:rPr>
          <w:sz w:val="28"/>
          <w:szCs w:val="28"/>
          <w:lang w:val="uk-UA"/>
        </w:rPr>
        <w:t>маційно-аналітичне та матеріаль</w:t>
      </w:r>
      <w:r w:rsidRPr="00FF633C">
        <w:rPr>
          <w:sz w:val="28"/>
          <w:szCs w:val="28"/>
          <w:lang w:val="uk-UA"/>
        </w:rPr>
        <w:t xml:space="preserve">но-технічне забезпечення діяльності обласної ради, районної ради, районної у місті ради (у разі її створення), міської, селищної, сільської рад», апарат міської ради, загальна кількість ставок працівників складає 75шт.од.,  з них фактично зайнятих 69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- по КПКВ 0160 «Керівництво і управління у відповідній сфері у містах (місті Києві), селищах, селах, територіальних громадах» в 2023 році загальна кількість ставок не змінилась та становить 37 шт. од., з них фактично зайнятих посад</w:t>
      </w:r>
      <w:r w:rsidRPr="00FF633C">
        <w:rPr>
          <w:szCs w:val="20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>на кінець 2023 року</w:t>
      </w:r>
      <w:r w:rsidR="00C03DD1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 xml:space="preserve">-  32 шт. од. </w:t>
      </w:r>
    </w:p>
    <w:p w:rsidR="00FF633C" w:rsidRPr="00FF633C" w:rsidRDefault="00FF633C" w:rsidP="00FF633C">
      <w:pPr>
        <w:ind w:firstLine="708"/>
        <w:jc w:val="both"/>
        <w:rPr>
          <w:b/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Галузь «Освіта»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F633C">
        <w:rPr>
          <w:sz w:val="28"/>
          <w:szCs w:val="28"/>
        </w:rPr>
        <w:t>Кількість</w:t>
      </w:r>
      <w:proofErr w:type="spellEnd"/>
      <w:r w:rsidRPr="00FF633C">
        <w:rPr>
          <w:sz w:val="28"/>
          <w:szCs w:val="28"/>
        </w:rPr>
        <w:t xml:space="preserve"> </w:t>
      </w:r>
      <w:proofErr w:type="spellStart"/>
      <w:r w:rsidRPr="00FF633C">
        <w:rPr>
          <w:sz w:val="28"/>
          <w:szCs w:val="28"/>
        </w:rPr>
        <w:t>закладів</w:t>
      </w:r>
      <w:proofErr w:type="spellEnd"/>
      <w:r w:rsidRPr="00FF633C">
        <w:rPr>
          <w:sz w:val="28"/>
          <w:szCs w:val="28"/>
        </w:rPr>
        <w:t xml:space="preserve"> освіти</w:t>
      </w:r>
      <w:r w:rsidRPr="00FF633C">
        <w:rPr>
          <w:sz w:val="28"/>
          <w:szCs w:val="28"/>
          <w:lang w:val="uk-UA"/>
        </w:rPr>
        <w:t xml:space="preserve"> протягом 2023 року не змінилась та </w:t>
      </w:r>
      <w:proofErr w:type="spellStart"/>
      <w:r w:rsidRPr="00FF633C">
        <w:rPr>
          <w:sz w:val="28"/>
          <w:szCs w:val="28"/>
        </w:rPr>
        <w:t>складає</w:t>
      </w:r>
      <w:proofErr w:type="spellEnd"/>
      <w:r w:rsidRPr="00FF633C">
        <w:rPr>
          <w:sz w:val="28"/>
          <w:szCs w:val="28"/>
        </w:rPr>
        <w:t xml:space="preserve"> </w:t>
      </w:r>
      <w:r w:rsidR="00C03DD1">
        <w:rPr>
          <w:sz w:val="28"/>
          <w:szCs w:val="28"/>
          <w:lang w:val="uk-UA"/>
        </w:rPr>
        <w:t>-</w:t>
      </w:r>
      <w:r w:rsidRPr="00FF633C">
        <w:rPr>
          <w:sz w:val="28"/>
          <w:szCs w:val="28"/>
          <w:lang w:val="uk-UA"/>
        </w:rPr>
        <w:t>11 одиниць.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Загальна кількість штатних одиниць  по КПКВ 1010 «Надання дошкільної освіти» змінилась  порівняно з початком року  і складає на кінець року </w:t>
      </w:r>
      <w:r w:rsidR="00C03DD1">
        <w:rPr>
          <w:sz w:val="28"/>
          <w:szCs w:val="28"/>
          <w:lang w:val="uk-UA"/>
        </w:rPr>
        <w:t>-</w:t>
      </w:r>
      <w:r w:rsidRPr="00FF633C">
        <w:rPr>
          <w:sz w:val="28"/>
          <w:szCs w:val="28"/>
          <w:lang w:val="uk-UA"/>
        </w:rPr>
        <w:t xml:space="preserve"> 83,69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., з них ставок педагогічних працівників </w:t>
      </w:r>
      <w:r w:rsidR="00C03DD1">
        <w:rPr>
          <w:sz w:val="28"/>
          <w:szCs w:val="28"/>
          <w:lang w:val="uk-UA"/>
        </w:rPr>
        <w:t xml:space="preserve">- </w:t>
      </w:r>
      <w:r w:rsidRPr="00FF633C">
        <w:rPr>
          <w:sz w:val="28"/>
          <w:szCs w:val="28"/>
          <w:lang w:val="uk-UA"/>
        </w:rPr>
        <w:t xml:space="preserve">39,49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</w:t>
      </w:r>
      <w:r w:rsidRPr="00FF633C">
        <w:rPr>
          <w:sz w:val="28"/>
          <w:szCs w:val="28"/>
          <w:lang w:val="uk-UA"/>
        </w:rPr>
        <w:lastRenderedPageBreak/>
        <w:t xml:space="preserve">Фактично зайняті ставки працівників станом на кінець 2023 року - 79,29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Загальна кількість ставок по КПКВ 1021 «Надання загальної середньої освіти закладами загальної середньої освіти» на кінець року </w:t>
      </w:r>
      <w:r w:rsidR="00C03DD1">
        <w:rPr>
          <w:sz w:val="28"/>
          <w:szCs w:val="28"/>
          <w:lang w:val="uk-UA"/>
        </w:rPr>
        <w:t xml:space="preserve">- </w:t>
      </w:r>
      <w:r w:rsidRPr="00FF633C">
        <w:rPr>
          <w:sz w:val="28"/>
          <w:szCs w:val="28"/>
          <w:lang w:val="uk-UA"/>
        </w:rPr>
        <w:t xml:space="preserve">227,00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>.,</w:t>
      </w:r>
      <w:r w:rsidR="00C03DD1">
        <w:rPr>
          <w:sz w:val="28"/>
          <w:szCs w:val="28"/>
          <w:lang w:val="uk-UA"/>
        </w:rPr>
        <w:t xml:space="preserve">   </w:t>
      </w:r>
      <w:r w:rsidRPr="00FF633C">
        <w:rPr>
          <w:sz w:val="28"/>
          <w:szCs w:val="28"/>
          <w:lang w:val="uk-UA"/>
        </w:rPr>
        <w:t xml:space="preserve">(в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>.</w:t>
      </w:r>
      <w:r w:rsidR="00C03DD1">
        <w:rPr>
          <w:sz w:val="28"/>
          <w:szCs w:val="28"/>
          <w:lang w:val="uk-UA"/>
        </w:rPr>
        <w:t>:</w:t>
      </w:r>
      <w:r w:rsidRPr="00FF633C">
        <w:rPr>
          <w:sz w:val="28"/>
          <w:szCs w:val="28"/>
          <w:lang w:val="uk-UA"/>
        </w:rPr>
        <w:t xml:space="preserve"> педагогічних працівників</w:t>
      </w:r>
      <w:r w:rsidR="00C03DD1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 xml:space="preserve">- 18,35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.), з них фактично зайнятих 219,17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(в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>. педагогічних працівників</w:t>
      </w:r>
      <w:r w:rsidR="00C03DD1">
        <w:rPr>
          <w:sz w:val="28"/>
          <w:szCs w:val="28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 xml:space="preserve">- 17,60 шт. од.), </w:t>
      </w:r>
      <w:r w:rsidRPr="00FF633C">
        <w:rPr>
          <w:szCs w:val="20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 xml:space="preserve">що на 11,26 шт. од. менше ніж на початок року, в результаті внесення змін в штатні розписи, а саме виведення зі штату: 1,5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вихователя; 1,75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музичного керівника; 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помічника вихователя; 1,5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</w:t>
      </w:r>
      <w:proofErr w:type="spellStart"/>
      <w:r w:rsidRPr="00FF633C">
        <w:rPr>
          <w:sz w:val="28"/>
          <w:szCs w:val="28"/>
          <w:lang w:val="uk-UA"/>
        </w:rPr>
        <w:t>кухаря</w:t>
      </w:r>
      <w:proofErr w:type="spellEnd"/>
      <w:r w:rsidRPr="00FF633C">
        <w:rPr>
          <w:sz w:val="28"/>
          <w:szCs w:val="28"/>
          <w:lang w:val="uk-UA"/>
        </w:rPr>
        <w:t xml:space="preserve">, 1,5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="00C03DD1">
        <w:rPr>
          <w:sz w:val="28"/>
          <w:szCs w:val="28"/>
          <w:lang w:val="uk-UA"/>
        </w:rPr>
        <w:t>.</w:t>
      </w:r>
      <w:r w:rsidRPr="00FF633C">
        <w:rPr>
          <w:sz w:val="28"/>
          <w:szCs w:val="28"/>
          <w:lang w:val="uk-UA"/>
        </w:rPr>
        <w:t xml:space="preserve"> прибиральника службових приміщень.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Штатна чисельність педагогічних працівників по КПКВ 1031 «Надання загальної середньої освіти закладами загальної середньої освіти»  становить 311,89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>.,</w:t>
      </w:r>
      <w:r w:rsidRPr="00FF633C">
        <w:rPr>
          <w:szCs w:val="20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 xml:space="preserve">загальна кількість фактично зайнятих посад педагогічних працівників 309,11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., що на 15,59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менше в порівнянні з початком року, в результаті оптимізації штатної чисельності педагогічних працівників, з урахуванням фактичної комплектації та тарифікації станом на 01.09.2023р., а саме виведення зі штатного розпису 28,12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вчителів, 2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педагога організатора, 1 шт. од. заступника зав. філії, 0,47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практичного психолога та введення: 9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>. асистента вчителя;</w:t>
      </w:r>
      <w:r w:rsidRPr="00FF633C">
        <w:rPr>
          <w:szCs w:val="20"/>
          <w:lang w:val="uk-UA"/>
        </w:rPr>
        <w:t xml:space="preserve"> </w:t>
      </w:r>
      <w:r w:rsidRPr="00FF633C">
        <w:rPr>
          <w:sz w:val="28"/>
          <w:szCs w:val="28"/>
          <w:lang w:val="uk-UA"/>
        </w:rPr>
        <w:t xml:space="preserve">6,0 шт. од. вчителя ГПД; 0,5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>. вчителя по підвозу та 0,5 шт. од. педагога організатора.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Загальна кількість ставок по КПКВ  1141 «Забезпечення діяльності інших закладів у сфері освіти» змінилась на протязі 2023 року та становить 16,20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>., в зв’язку з введенням в штатний розпис 2,0 шт. од. бухгалтера.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Загальна кількість штатних одиниць по КПКВ 1151 «Забезпечення діяльності </w:t>
      </w:r>
      <w:proofErr w:type="spellStart"/>
      <w:r w:rsidRPr="00FF633C">
        <w:rPr>
          <w:sz w:val="28"/>
          <w:szCs w:val="28"/>
          <w:lang w:val="uk-UA"/>
        </w:rPr>
        <w:t>інклюзивно</w:t>
      </w:r>
      <w:proofErr w:type="spellEnd"/>
      <w:r w:rsidRPr="00FF633C">
        <w:rPr>
          <w:sz w:val="28"/>
          <w:szCs w:val="28"/>
          <w:lang w:val="uk-UA"/>
        </w:rPr>
        <w:t xml:space="preserve">-ресурсних центрів за рахунок коштів місцевого бюджету»  не змінилась порівняно з початком року, та  складає 1,5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., з них фактично зайнятих ставок на кінець 2023 року </w:t>
      </w:r>
      <w:r w:rsidR="00C03DD1">
        <w:rPr>
          <w:sz w:val="28"/>
          <w:szCs w:val="28"/>
          <w:lang w:val="uk-UA"/>
        </w:rPr>
        <w:t xml:space="preserve">- </w:t>
      </w:r>
      <w:r w:rsidRPr="00FF633C">
        <w:rPr>
          <w:sz w:val="28"/>
          <w:szCs w:val="28"/>
          <w:lang w:val="uk-UA"/>
        </w:rPr>
        <w:t xml:space="preserve">1,5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Загальна кількість ставок по КПКВ 1152 «Забезпечення діяльності </w:t>
      </w:r>
      <w:proofErr w:type="spellStart"/>
      <w:r w:rsidRPr="00FF633C">
        <w:rPr>
          <w:sz w:val="28"/>
          <w:szCs w:val="28"/>
          <w:lang w:val="uk-UA"/>
        </w:rPr>
        <w:t>інклюзивно</w:t>
      </w:r>
      <w:proofErr w:type="spellEnd"/>
      <w:r w:rsidRPr="00FF633C">
        <w:rPr>
          <w:sz w:val="28"/>
          <w:szCs w:val="28"/>
          <w:lang w:val="uk-UA"/>
        </w:rPr>
        <w:t>-ресурсних центрів за рахунок освітньої субвенції» становить 5 шт. од. і з початку року залишилась незмінною, з них зайнятих 3 шт. од..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Загальна кількість ставок по КПКВ 1070 «Надання позашкільної освіти закладами позашкільної освіти, заходи із позашкільної роботи з дітьми» складає на кінець року </w:t>
      </w:r>
      <w:r w:rsidR="00C03DD1">
        <w:rPr>
          <w:sz w:val="28"/>
          <w:szCs w:val="28"/>
          <w:lang w:val="uk-UA"/>
        </w:rPr>
        <w:t xml:space="preserve">- </w:t>
      </w:r>
      <w:r w:rsidRPr="00FF633C">
        <w:rPr>
          <w:sz w:val="28"/>
          <w:szCs w:val="28"/>
          <w:lang w:val="uk-UA"/>
        </w:rPr>
        <w:t xml:space="preserve">45,23 шт. од., з них педпрацівників  </w:t>
      </w:r>
      <w:r w:rsidR="00C03DD1">
        <w:rPr>
          <w:sz w:val="28"/>
          <w:szCs w:val="28"/>
          <w:lang w:val="uk-UA"/>
        </w:rPr>
        <w:t xml:space="preserve">- </w:t>
      </w:r>
      <w:r w:rsidRPr="00FF633C">
        <w:rPr>
          <w:sz w:val="28"/>
          <w:szCs w:val="28"/>
          <w:lang w:val="uk-UA"/>
        </w:rPr>
        <w:t xml:space="preserve">35,73 шт. од., фактично зайнятих посад  </w:t>
      </w:r>
      <w:r w:rsidR="00C03DD1">
        <w:rPr>
          <w:sz w:val="28"/>
          <w:szCs w:val="28"/>
          <w:lang w:val="uk-UA"/>
        </w:rPr>
        <w:t xml:space="preserve">- </w:t>
      </w:r>
      <w:r w:rsidRPr="00FF633C">
        <w:rPr>
          <w:sz w:val="28"/>
          <w:szCs w:val="28"/>
          <w:lang w:val="uk-UA"/>
        </w:rPr>
        <w:t>35,73 ставки.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Станом на 31 грудня 2023 року загальна кількість дітей, що навчаються в дитячій музичній школі склала – 153 учні. Загальна кількість вихованців позашкільних закладів – 878 учнів.</w:t>
      </w:r>
    </w:p>
    <w:p w:rsidR="00FF633C" w:rsidRPr="00FF633C" w:rsidRDefault="00FF633C" w:rsidP="00FF633C">
      <w:pPr>
        <w:ind w:firstLine="708"/>
        <w:jc w:val="both"/>
        <w:rPr>
          <w:b/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Галузь «Охорона здоров'я</w:t>
      </w:r>
      <w:r w:rsidR="00C03DD1">
        <w:rPr>
          <w:b/>
          <w:sz w:val="28"/>
          <w:szCs w:val="28"/>
          <w:lang w:val="uk-UA"/>
        </w:rPr>
        <w:t>»</w:t>
      </w:r>
      <w:r w:rsidRPr="00FF633C">
        <w:rPr>
          <w:b/>
          <w:sz w:val="28"/>
          <w:szCs w:val="28"/>
          <w:lang w:val="uk-UA"/>
        </w:rPr>
        <w:t xml:space="preserve"> 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FF633C">
        <w:rPr>
          <w:sz w:val="28"/>
          <w:szCs w:val="28"/>
        </w:rPr>
        <w:t>Кількість</w:t>
      </w:r>
      <w:proofErr w:type="spellEnd"/>
      <w:r w:rsidRPr="00FF633C">
        <w:rPr>
          <w:sz w:val="28"/>
          <w:szCs w:val="28"/>
        </w:rPr>
        <w:t xml:space="preserve"> </w:t>
      </w:r>
      <w:proofErr w:type="spellStart"/>
      <w:r w:rsidRPr="00FF633C">
        <w:rPr>
          <w:sz w:val="28"/>
          <w:szCs w:val="28"/>
        </w:rPr>
        <w:t>закладів</w:t>
      </w:r>
      <w:proofErr w:type="spellEnd"/>
      <w:r w:rsidRPr="00FF633C">
        <w:rPr>
          <w:sz w:val="28"/>
          <w:szCs w:val="28"/>
        </w:rPr>
        <w:t xml:space="preserve"> </w:t>
      </w:r>
      <w:proofErr w:type="gramStart"/>
      <w:r w:rsidRPr="00FF633C">
        <w:rPr>
          <w:sz w:val="28"/>
          <w:szCs w:val="28"/>
        </w:rPr>
        <w:t>в</w:t>
      </w:r>
      <w:proofErr w:type="gramEnd"/>
      <w:r w:rsidRPr="00FF633C">
        <w:rPr>
          <w:sz w:val="28"/>
          <w:szCs w:val="28"/>
        </w:rPr>
        <w:t xml:space="preserve"> </w:t>
      </w:r>
      <w:proofErr w:type="spellStart"/>
      <w:r w:rsidRPr="00FF633C">
        <w:rPr>
          <w:sz w:val="28"/>
          <w:szCs w:val="28"/>
        </w:rPr>
        <w:t>галузі</w:t>
      </w:r>
      <w:proofErr w:type="spellEnd"/>
      <w:r w:rsidRPr="00FF633C">
        <w:rPr>
          <w:sz w:val="28"/>
          <w:szCs w:val="28"/>
        </w:rPr>
        <w:t xml:space="preserve"> </w:t>
      </w:r>
      <w:proofErr w:type="spellStart"/>
      <w:r w:rsidRPr="00FF633C">
        <w:rPr>
          <w:sz w:val="28"/>
          <w:szCs w:val="28"/>
        </w:rPr>
        <w:t>охорони</w:t>
      </w:r>
      <w:proofErr w:type="spellEnd"/>
      <w:r w:rsidRPr="00FF633C">
        <w:rPr>
          <w:sz w:val="28"/>
          <w:szCs w:val="28"/>
        </w:rPr>
        <w:t xml:space="preserve"> </w:t>
      </w:r>
      <w:proofErr w:type="spellStart"/>
      <w:r w:rsidRPr="00FF633C">
        <w:rPr>
          <w:sz w:val="28"/>
          <w:szCs w:val="28"/>
        </w:rPr>
        <w:t>здоров'я</w:t>
      </w:r>
      <w:proofErr w:type="spellEnd"/>
      <w:r w:rsidRPr="00FF633C">
        <w:rPr>
          <w:sz w:val="28"/>
          <w:szCs w:val="28"/>
        </w:rPr>
        <w:t xml:space="preserve"> станом на </w:t>
      </w:r>
      <w:r w:rsidRPr="00FF633C">
        <w:rPr>
          <w:sz w:val="28"/>
          <w:szCs w:val="28"/>
          <w:lang w:val="uk-UA"/>
        </w:rPr>
        <w:t>кінець</w:t>
      </w:r>
      <w:r w:rsidRPr="00FF633C">
        <w:rPr>
          <w:sz w:val="28"/>
          <w:szCs w:val="28"/>
        </w:rPr>
        <w:t xml:space="preserve"> року </w:t>
      </w:r>
      <w:proofErr w:type="spellStart"/>
      <w:r w:rsidRPr="00FF633C">
        <w:rPr>
          <w:sz w:val="28"/>
          <w:szCs w:val="28"/>
        </w:rPr>
        <w:t>складає</w:t>
      </w:r>
      <w:proofErr w:type="spellEnd"/>
      <w:r w:rsidRPr="00FF633C">
        <w:rPr>
          <w:sz w:val="28"/>
          <w:szCs w:val="28"/>
        </w:rPr>
        <w:t xml:space="preserve"> </w:t>
      </w:r>
      <w:r w:rsidRPr="00FF633C">
        <w:rPr>
          <w:sz w:val="28"/>
          <w:szCs w:val="28"/>
          <w:lang w:val="uk-UA"/>
        </w:rPr>
        <w:t xml:space="preserve">2 </w:t>
      </w:r>
      <w:proofErr w:type="spellStart"/>
      <w:r w:rsidRPr="00FF633C">
        <w:rPr>
          <w:sz w:val="28"/>
          <w:szCs w:val="28"/>
        </w:rPr>
        <w:t>одиниці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firstLine="708"/>
        <w:jc w:val="both"/>
        <w:rPr>
          <w:b/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Галузь «Соціальний захист та соціальне забезпечення»</w:t>
      </w:r>
    </w:p>
    <w:p w:rsidR="00FF633C" w:rsidRPr="00FF633C" w:rsidRDefault="00FF633C" w:rsidP="00FF633C">
      <w:pPr>
        <w:ind w:firstLine="783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Відповідно до міської цільової Програми підтримки громадян, що опинились в складних життєвих обставинах та інших категорій громадян на </w:t>
      </w:r>
      <w:r w:rsidRPr="00FF633C">
        <w:rPr>
          <w:sz w:val="28"/>
          <w:szCs w:val="28"/>
          <w:lang w:val="uk-UA"/>
        </w:rPr>
        <w:lastRenderedPageBreak/>
        <w:t xml:space="preserve">2021 – 2023 роки надано одноразову матеріальну допомогу 414 особам на суму  1562,00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.</w:t>
      </w:r>
    </w:p>
    <w:p w:rsidR="00FF633C" w:rsidRPr="00FF633C" w:rsidRDefault="00FF633C" w:rsidP="00FF633C">
      <w:pPr>
        <w:ind w:left="75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ab/>
        <w:t xml:space="preserve">По КПКВ 3241 «Забезпечення діяльності інших закладів у сфері соціального захисту і соціального забезпечення» загальна кількість ставок на кінець 2023р. по КПКВ складає  51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., з них фактично зайнятих ставок 50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</w:t>
      </w:r>
    </w:p>
    <w:p w:rsidR="00FF633C" w:rsidRPr="00FF633C" w:rsidRDefault="00FF633C" w:rsidP="00FF633C">
      <w:pPr>
        <w:ind w:firstLine="540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На стаціонарному догляді фактична чисельність осіб – 18, планова – 18. Середні витрати утримання проживання одного підопічного за 2023 рік склали –  99,61 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 xml:space="preserve">. Харчування підопічних, відділення стаціонарного догляду для постійного або тимчасового проживання виконано за рахунок загального та спеціального фонду  в сумі 556,5 </w:t>
      </w:r>
      <w:proofErr w:type="spellStart"/>
      <w:r w:rsidRPr="00FF633C">
        <w:rPr>
          <w:sz w:val="28"/>
          <w:szCs w:val="28"/>
          <w:lang w:val="uk-UA"/>
        </w:rPr>
        <w:t>тис.грн</w:t>
      </w:r>
      <w:proofErr w:type="spellEnd"/>
      <w:r w:rsidRPr="00FF633C">
        <w:rPr>
          <w:sz w:val="28"/>
          <w:szCs w:val="28"/>
          <w:lang w:val="uk-UA"/>
        </w:rPr>
        <w:t>, середня вартість харчування 1 люд/дня - 84,70 грн.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Кількість громадян, яким надавались в 2023 році соціальні послуги за місцем проживання – 273 особи. Середні витрати на одну особу за 2023 рік – 8835,17 грн. </w:t>
      </w:r>
    </w:p>
    <w:p w:rsidR="00FF633C" w:rsidRPr="00FF633C" w:rsidRDefault="00FF633C" w:rsidP="00FF633C">
      <w:pPr>
        <w:ind w:left="75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ab/>
        <w:t xml:space="preserve">Протягом 2023 року КУ «Центр надання соціальних послуг Ананьївської міської ради» проводилась </w:t>
      </w:r>
      <w:proofErr w:type="spellStart"/>
      <w:r w:rsidRPr="00FF633C">
        <w:rPr>
          <w:sz w:val="28"/>
          <w:szCs w:val="28"/>
          <w:lang w:val="uk-UA"/>
        </w:rPr>
        <w:t>слідуюча</w:t>
      </w:r>
      <w:proofErr w:type="spellEnd"/>
      <w:r w:rsidRPr="00FF633C">
        <w:rPr>
          <w:sz w:val="28"/>
          <w:szCs w:val="28"/>
          <w:lang w:val="uk-UA"/>
        </w:rPr>
        <w:t xml:space="preserve"> робота:</w:t>
      </w:r>
    </w:p>
    <w:p w:rsidR="00FF633C" w:rsidRPr="00FF633C" w:rsidRDefault="00FF633C" w:rsidP="00C03DD1">
      <w:pPr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кількість сімей, дітей та молоді, які отримали соціальні послуги – 3215 особи;</w:t>
      </w:r>
    </w:p>
    <w:p w:rsidR="00FF633C" w:rsidRPr="00FF633C" w:rsidRDefault="00FF633C" w:rsidP="00C03DD1">
      <w:pPr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>кількість групових заходів (круглих столів, семінарів, лекцій, бесід) –  106; кількість учасників, які прийняли участь у групових заходах – 2420 осіб; середні витрати на проведення одного групового заходу – 26,00 грн;</w:t>
      </w:r>
    </w:p>
    <w:p w:rsidR="00FF633C" w:rsidRPr="00FF633C" w:rsidRDefault="00FF633C" w:rsidP="00C03DD1">
      <w:pPr>
        <w:numPr>
          <w:ilvl w:val="0"/>
          <w:numId w:val="3"/>
        </w:numPr>
        <w:tabs>
          <w:tab w:val="left" w:pos="851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 кількість  мобільних  виїздів  мобільної бригади – 51 </w:t>
      </w:r>
      <w:proofErr w:type="spellStart"/>
      <w:r w:rsidRPr="00FF633C">
        <w:rPr>
          <w:sz w:val="28"/>
          <w:szCs w:val="28"/>
          <w:lang w:val="uk-UA"/>
        </w:rPr>
        <w:t>привентивні</w:t>
      </w:r>
      <w:proofErr w:type="spellEnd"/>
      <w:r w:rsidRPr="00FF633C">
        <w:rPr>
          <w:sz w:val="28"/>
          <w:szCs w:val="28"/>
          <w:lang w:val="uk-UA"/>
        </w:rPr>
        <w:t xml:space="preserve"> виїзди та 143 виїзд</w:t>
      </w:r>
      <w:r w:rsidR="00303F6F">
        <w:rPr>
          <w:sz w:val="28"/>
          <w:szCs w:val="28"/>
          <w:lang w:val="uk-UA"/>
        </w:rPr>
        <w:t>и</w:t>
      </w:r>
      <w:r w:rsidRPr="00FF633C">
        <w:rPr>
          <w:sz w:val="28"/>
          <w:szCs w:val="28"/>
          <w:lang w:val="uk-UA"/>
        </w:rPr>
        <w:t xml:space="preserve"> за повідомленням про те, що в родинах вчинено домашнє насильство. Середні витрати на 1 мобільний виїзд мобільної бригади  – 96,15  грн.</w:t>
      </w:r>
    </w:p>
    <w:p w:rsidR="00FF633C" w:rsidRPr="00FF633C" w:rsidRDefault="00FF633C" w:rsidP="00FF633C">
      <w:pPr>
        <w:suppressAutoHyphens/>
        <w:ind w:left="705"/>
        <w:jc w:val="both"/>
        <w:rPr>
          <w:b/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Галузь «Культура і мистецтво»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</w:rPr>
      </w:pPr>
      <w:proofErr w:type="spellStart"/>
      <w:r w:rsidRPr="00FF633C">
        <w:rPr>
          <w:sz w:val="28"/>
          <w:szCs w:val="28"/>
        </w:rPr>
        <w:t>Кількість</w:t>
      </w:r>
      <w:proofErr w:type="spellEnd"/>
      <w:r w:rsidRPr="00FF633C">
        <w:rPr>
          <w:sz w:val="28"/>
          <w:szCs w:val="28"/>
        </w:rPr>
        <w:t xml:space="preserve"> </w:t>
      </w:r>
      <w:proofErr w:type="spellStart"/>
      <w:r w:rsidRPr="00FF633C">
        <w:rPr>
          <w:sz w:val="28"/>
          <w:szCs w:val="28"/>
        </w:rPr>
        <w:t>закладів</w:t>
      </w:r>
      <w:proofErr w:type="spellEnd"/>
      <w:r w:rsidRPr="00FF633C">
        <w:rPr>
          <w:sz w:val="28"/>
          <w:szCs w:val="28"/>
        </w:rPr>
        <w:t xml:space="preserve"> </w:t>
      </w:r>
      <w:proofErr w:type="spellStart"/>
      <w:r w:rsidRPr="00FF633C">
        <w:rPr>
          <w:sz w:val="28"/>
          <w:szCs w:val="28"/>
        </w:rPr>
        <w:t>культури</w:t>
      </w:r>
      <w:proofErr w:type="spellEnd"/>
      <w:r w:rsidRPr="00FF633C">
        <w:rPr>
          <w:sz w:val="28"/>
          <w:szCs w:val="28"/>
          <w:lang w:val="uk-UA"/>
        </w:rPr>
        <w:t xml:space="preserve"> не змінилась</w:t>
      </w:r>
      <w:r w:rsidRPr="00FF633C">
        <w:rPr>
          <w:sz w:val="28"/>
          <w:szCs w:val="28"/>
        </w:rPr>
        <w:t xml:space="preserve"> станом на</w:t>
      </w:r>
      <w:r w:rsidRPr="00FF633C">
        <w:rPr>
          <w:sz w:val="28"/>
          <w:szCs w:val="28"/>
          <w:lang w:val="uk-UA"/>
        </w:rPr>
        <w:t xml:space="preserve"> 31</w:t>
      </w:r>
      <w:r w:rsidRPr="00FF633C">
        <w:rPr>
          <w:sz w:val="28"/>
          <w:szCs w:val="28"/>
        </w:rPr>
        <w:t>.</w:t>
      </w:r>
      <w:r w:rsidRPr="00FF633C">
        <w:rPr>
          <w:sz w:val="28"/>
          <w:szCs w:val="28"/>
          <w:lang w:val="uk-UA"/>
        </w:rPr>
        <w:t>12</w:t>
      </w:r>
      <w:r w:rsidRPr="00FF633C">
        <w:rPr>
          <w:sz w:val="28"/>
          <w:szCs w:val="28"/>
        </w:rPr>
        <w:t>.202</w:t>
      </w:r>
      <w:r w:rsidRPr="00FF633C">
        <w:rPr>
          <w:sz w:val="28"/>
          <w:szCs w:val="28"/>
          <w:lang w:val="uk-UA"/>
        </w:rPr>
        <w:t>3</w:t>
      </w:r>
      <w:r w:rsidRPr="00FF633C">
        <w:rPr>
          <w:sz w:val="28"/>
          <w:szCs w:val="28"/>
        </w:rPr>
        <w:t xml:space="preserve"> року </w:t>
      </w:r>
      <w:r w:rsidRPr="00FF633C">
        <w:rPr>
          <w:sz w:val="28"/>
          <w:szCs w:val="28"/>
          <w:lang w:val="uk-UA"/>
        </w:rPr>
        <w:t xml:space="preserve"> та </w:t>
      </w:r>
      <w:proofErr w:type="spellStart"/>
      <w:r w:rsidRPr="00FF633C">
        <w:rPr>
          <w:sz w:val="28"/>
          <w:szCs w:val="28"/>
        </w:rPr>
        <w:t>складає</w:t>
      </w:r>
      <w:proofErr w:type="spellEnd"/>
      <w:r w:rsidRPr="00FF633C">
        <w:rPr>
          <w:sz w:val="28"/>
          <w:szCs w:val="28"/>
        </w:rPr>
        <w:t xml:space="preserve"> 17 </w:t>
      </w:r>
      <w:proofErr w:type="spellStart"/>
      <w:r w:rsidRPr="00FF633C">
        <w:rPr>
          <w:sz w:val="28"/>
          <w:szCs w:val="28"/>
        </w:rPr>
        <w:t>одиниць</w:t>
      </w:r>
      <w:proofErr w:type="spellEnd"/>
      <w:r w:rsidRPr="00FF633C">
        <w:rPr>
          <w:sz w:val="28"/>
          <w:szCs w:val="28"/>
        </w:rPr>
        <w:t>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Загальна кількість ставок по КПКВ 4030 «Забезпечення діяльності бібліотек» в порівнянні з початком року  зменшилася на 4,25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і становить 24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>. Загальна кількість читачів, що відвідали бібліотечні заклади за 12 місяців 2023 року склала – 9648 осіб.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Загальна кількість ставок по КПКВ 4060 «Забезпечення діяльності палаців і будинків культури, клубів, центрів дозвілля та інших клубних закладів» на протязі 2023 року зменшилась на 2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 в порівнянні з початком року і становить 32,5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., з них фактично зайнятих ставок 31,5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 </w:t>
      </w:r>
    </w:p>
    <w:p w:rsid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t xml:space="preserve">Кількість заходів проведених клубними закладами за 12 місяців  2023 року - 674, в </w:t>
      </w:r>
      <w:proofErr w:type="spellStart"/>
      <w:r w:rsidRPr="00FF633C">
        <w:rPr>
          <w:sz w:val="28"/>
          <w:szCs w:val="28"/>
          <w:lang w:val="uk-UA"/>
        </w:rPr>
        <w:t>т.ч</w:t>
      </w:r>
      <w:proofErr w:type="spellEnd"/>
      <w:r w:rsidRPr="00FF633C">
        <w:rPr>
          <w:sz w:val="28"/>
          <w:szCs w:val="28"/>
          <w:lang w:val="uk-UA"/>
        </w:rPr>
        <w:t xml:space="preserve">. </w:t>
      </w:r>
      <w:proofErr w:type="spellStart"/>
      <w:r w:rsidRPr="00FF633C">
        <w:rPr>
          <w:sz w:val="28"/>
          <w:szCs w:val="28"/>
          <w:lang w:val="uk-UA"/>
        </w:rPr>
        <w:t>Ананьївським</w:t>
      </w:r>
      <w:proofErr w:type="spellEnd"/>
      <w:r w:rsidRPr="00FF633C">
        <w:rPr>
          <w:sz w:val="28"/>
          <w:szCs w:val="28"/>
          <w:lang w:val="uk-UA"/>
        </w:rPr>
        <w:t xml:space="preserve"> будинком культури – 96 заходи; в сільських клубних закладах – 578 заходи. В тому числі територіально в місті Ананьїв проведено 96 заходи.</w:t>
      </w:r>
    </w:p>
    <w:p w:rsidR="00C03DD1" w:rsidRPr="00FF633C" w:rsidRDefault="00C03DD1" w:rsidP="00FF633C">
      <w:pPr>
        <w:ind w:firstLine="708"/>
        <w:jc w:val="both"/>
        <w:rPr>
          <w:sz w:val="28"/>
          <w:szCs w:val="28"/>
          <w:lang w:val="uk-UA"/>
        </w:rPr>
      </w:pPr>
    </w:p>
    <w:p w:rsidR="00FF633C" w:rsidRPr="00FF633C" w:rsidRDefault="00FF633C" w:rsidP="00FF633C">
      <w:pPr>
        <w:ind w:firstLine="708"/>
        <w:jc w:val="both"/>
        <w:rPr>
          <w:b/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>Галузь «Фізична культура і спорт»</w:t>
      </w:r>
    </w:p>
    <w:p w:rsidR="00FF633C" w:rsidRPr="00FF633C" w:rsidRDefault="00FF633C" w:rsidP="00FF633C">
      <w:pPr>
        <w:ind w:firstLine="708"/>
        <w:jc w:val="both"/>
        <w:rPr>
          <w:sz w:val="28"/>
          <w:szCs w:val="28"/>
          <w:lang w:val="uk-UA"/>
        </w:rPr>
      </w:pPr>
      <w:r w:rsidRPr="00FF633C">
        <w:rPr>
          <w:sz w:val="28"/>
          <w:szCs w:val="28"/>
          <w:lang w:val="uk-UA"/>
        </w:rPr>
        <w:lastRenderedPageBreak/>
        <w:t xml:space="preserve">Загальна кількість ставок по КПКВ 5031 «Утримання та навчально-тренувальна робота комунальних дитячо-юнацьких спортивних шкіл» змінилася в порівнянні з початком року в зв’язку з виведенням 0,5 ставки тренера і складає 7,5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 xml:space="preserve">., з них фактично зайнятих ставок 7,5 </w:t>
      </w:r>
      <w:proofErr w:type="spellStart"/>
      <w:r w:rsidRPr="00FF633C">
        <w:rPr>
          <w:sz w:val="28"/>
          <w:szCs w:val="28"/>
          <w:lang w:val="uk-UA"/>
        </w:rPr>
        <w:t>шт.од</w:t>
      </w:r>
      <w:proofErr w:type="spellEnd"/>
      <w:r w:rsidRPr="00FF633C">
        <w:rPr>
          <w:sz w:val="28"/>
          <w:szCs w:val="28"/>
          <w:lang w:val="uk-UA"/>
        </w:rPr>
        <w:t>. працівників.</w:t>
      </w:r>
    </w:p>
    <w:p w:rsidR="00FF633C" w:rsidRPr="00FF633C" w:rsidRDefault="00FF633C" w:rsidP="00FF633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FF633C">
        <w:rPr>
          <w:color w:val="000000"/>
          <w:sz w:val="28"/>
          <w:szCs w:val="28"/>
          <w:lang w:val="uk-UA"/>
        </w:rPr>
        <w:t>Загальна кількість дітей, які навчаються в спортивній школі склала 230 вихованців, в тому числі 90 вихованок.</w:t>
      </w:r>
    </w:p>
    <w:p w:rsidR="00FF633C" w:rsidRPr="00FF633C" w:rsidRDefault="00FF633C" w:rsidP="00FF633C">
      <w:pPr>
        <w:ind w:firstLine="708"/>
        <w:jc w:val="both"/>
        <w:rPr>
          <w:b/>
          <w:spacing w:val="-2"/>
          <w:sz w:val="28"/>
          <w:szCs w:val="28"/>
          <w:lang w:val="uk-UA"/>
        </w:rPr>
      </w:pPr>
    </w:p>
    <w:p w:rsidR="00FF633C" w:rsidRPr="00FF633C" w:rsidRDefault="00FF633C" w:rsidP="00FF633C">
      <w:pPr>
        <w:ind w:firstLine="708"/>
        <w:jc w:val="both"/>
        <w:rPr>
          <w:color w:val="000000"/>
          <w:kern w:val="1"/>
          <w:sz w:val="28"/>
          <w:szCs w:val="28"/>
          <w:highlight w:val="yellow"/>
          <w:lang w:val="uk-UA" w:eastAsia="ar-SA"/>
        </w:rPr>
      </w:pPr>
    </w:p>
    <w:p w:rsidR="00FF633C" w:rsidRPr="00FF633C" w:rsidRDefault="00FF633C" w:rsidP="00FF633C">
      <w:pPr>
        <w:jc w:val="both"/>
        <w:rPr>
          <w:b/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 xml:space="preserve">Начальник фінансового управління </w:t>
      </w:r>
      <w:r w:rsidRPr="00FF633C">
        <w:rPr>
          <w:b/>
          <w:sz w:val="28"/>
          <w:szCs w:val="28"/>
          <w:lang w:val="uk-UA"/>
        </w:rPr>
        <w:tab/>
      </w:r>
    </w:p>
    <w:p w:rsidR="00FF633C" w:rsidRPr="00FF633C" w:rsidRDefault="00FF633C" w:rsidP="00FF633C">
      <w:pPr>
        <w:tabs>
          <w:tab w:val="left" w:pos="7766"/>
        </w:tabs>
        <w:jc w:val="both"/>
        <w:rPr>
          <w:b/>
          <w:sz w:val="28"/>
          <w:szCs w:val="28"/>
          <w:lang w:val="uk-UA"/>
        </w:rPr>
      </w:pPr>
      <w:r w:rsidRPr="00FF633C">
        <w:rPr>
          <w:b/>
          <w:sz w:val="28"/>
          <w:szCs w:val="28"/>
          <w:lang w:val="uk-UA"/>
        </w:rPr>
        <w:t xml:space="preserve">Ананьївської міської ради                                                     Андрій  ПРОДАН  </w:t>
      </w:r>
    </w:p>
    <w:p w:rsidR="00FF633C" w:rsidRPr="00FF633C" w:rsidRDefault="00FF633C" w:rsidP="00FF633C">
      <w:pPr>
        <w:ind w:firstLine="708"/>
        <w:jc w:val="both"/>
        <w:rPr>
          <w:color w:val="000000"/>
          <w:kern w:val="1"/>
          <w:sz w:val="28"/>
          <w:szCs w:val="28"/>
          <w:highlight w:val="yellow"/>
          <w:lang w:val="uk-UA" w:eastAsia="ar-SA"/>
        </w:rPr>
      </w:pPr>
    </w:p>
    <w:p w:rsidR="00FF633C" w:rsidRPr="00FF633C" w:rsidRDefault="00FF633C" w:rsidP="00FF633C">
      <w:pPr>
        <w:ind w:firstLine="708"/>
        <w:jc w:val="both"/>
        <w:rPr>
          <w:color w:val="000000"/>
          <w:kern w:val="1"/>
          <w:sz w:val="28"/>
          <w:szCs w:val="28"/>
          <w:highlight w:val="yellow"/>
          <w:lang w:val="uk-UA" w:eastAsia="ar-SA"/>
        </w:rPr>
      </w:pPr>
    </w:p>
    <w:p w:rsidR="00FF633C" w:rsidRPr="00FF633C" w:rsidRDefault="00FF633C" w:rsidP="00FF633C">
      <w:pPr>
        <w:ind w:firstLine="708"/>
        <w:jc w:val="both"/>
        <w:rPr>
          <w:color w:val="000000"/>
          <w:kern w:val="1"/>
          <w:sz w:val="28"/>
          <w:szCs w:val="28"/>
          <w:highlight w:val="yellow"/>
          <w:lang w:val="uk-UA" w:eastAsia="ar-SA"/>
        </w:rPr>
      </w:pPr>
    </w:p>
    <w:p w:rsidR="00FF633C" w:rsidRPr="00FF633C" w:rsidRDefault="00FF633C" w:rsidP="00FF633C">
      <w:pPr>
        <w:ind w:firstLine="708"/>
        <w:jc w:val="both"/>
        <w:rPr>
          <w:color w:val="000000"/>
          <w:kern w:val="1"/>
          <w:sz w:val="28"/>
          <w:szCs w:val="28"/>
          <w:highlight w:val="yellow"/>
          <w:lang w:val="uk-UA" w:eastAsia="ar-SA"/>
        </w:rPr>
      </w:pPr>
    </w:p>
    <w:p w:rsidR="00FF633C" w:rsidRPr="00FF633C" w:rsidRDefault="00FF633C" w:rsidP="00FF633C">
      <w:pPr>
        <w:ind w:firstLine="708"/>
        <w:jc w:val="both"/>
        <w:rPr>
          <w:color w:val="000000"/>
          <w:kern w:val="1"/>
          <w:sz w:val="28"/>
          <w:szCs w:val="28"/>
          <w:highlight w:val="yellow"/>
          <w:lang w:val="uk-UA" w:eastAsia="ar-SA"/>
        </w:rPr>
      </w:pPr>
    </w:p>
    <w:p w:rsidR="00FF633C" w:rsidRPr="00FF633C" w:rsidRDefault="00FF633C" w:rsidP="00FF633C">
      <w:pPr>
        <w:ind w:firstLine="708"/>
        <w:jc w:val="both"/>
        <w:rPr>
          <w:color w:val="000000"/>
          <w:kern w:val="1"/>
          <w:sz w:val="28"/>
          <w:szCs w:val="28"/>
          <w:highlight w:val="yellow"/>
          <w:lang w:val="uk-UA" w:eastAsia="ar-SA"/>
        </w:rPr>
      </w:pPr>
    </w:p>
    <w:p w:rsidR="00FF633C" w:rsidRPr="00FF633C" w:rsidRDefault="00FF633C" w:rsidP="00FF633C">
      <w:pPr>
        <w:ind w:firstLine="708"/>
        <w:jc w:val="both"/>
        <w:rPr>
          <w:color w:val="000000"/>
          <w:kern w:val="1"/>
          <w:sz w:val="28"/>
          <w:szCs w:val="28"/>
          <w:highlight w:val="yellow"/>
          <w:lang w:val="uk-UA" w:eastAsia="ar-SA"/>
        </w:rPr>
      </w:pPr>
    </w:p>
    <w:p w:rsidR="00FF633C" w:rsidRPr="00FF633C" w:rsidRDefault="00FF633C" w:rsidP="00FF633C">
      <w:pPr>
        <w:rPr>
          <w:lang w:val="uk-UA"/>
        </w:rPr>
      </w:pPr>
    </w:p>
    <w:p w:rsidR="00FF633C" w:rsidRDefault="00FF633C" w:rsidP="0051609B">
      <w:pPr>
        <w:tabs>
          <w:tab w:val="left" w:pos="1383"/>
          <w:tab w:val="left" w:pos="6521"/>
        </w:tabs>
        <w:suppressAutoHyphens/>
        <w:jc w:val="both"/>
        <w:rPr>
          <w:sz w:val="28"/>
          <w:szCs w:val="28"/>
          <w:lang w:val="uk-UA" w:eastAsia="ar-SA"/>
        </w:rPr>
      </w:pPr>
    </w:p>
    <w:p w:rsidR="00FF633C" w:rsidRDefault="00FF633C" w:rsidP="0051609B">
      <w:pPr>
        <w:tabs>
          <w:tab w:val="left" w:pos="1383"/>
          <w:tab w:val="left" w:pos="6521"/>
        </w:tabs>
        <w:suppressAutoHyphens/>
        <w:jc w:val="both"/>
        <w:rPr>
          <w:sz w:val="28"/>
          <w:szCs w:val="28"/>
          <w:lang w:val="uk-UA" w:eastAsia="ar-SA"/>
        </w:rPr>
      </w:pPr>
    </w:p>
    <w:p w:rsidR="00FF633C" w:rsidRPr="0051609B" w:rsidRDefault="00FF633C" w:rsidP="0051609B">
      <w:pPr>
        <w:tabs>
          <w:tab w:val="left" w:pos="1383"/>
          <w:tab w:val="left" w:pos="6521"/>
        </w:tabs>
        <w:suppressAutoHyphens/>
        <w:jc w:val="both"/>
        <w:rPr>
          <w:sz w:val="28"/>
          <w:szCs w:val="28"/>
          <w:lang w:val="uk-UA" w:eastAsia="ar-SA"/>
        </w:rPr>
      </w:pPr>
    </w:p>
    <w:p w:rsidR="00C56F6C" w:rsidRPr="00BF53E2" w:rsidRDefault="00C56F6C">
      <w:pPr>
        <w:rPr>
          <w:lang w:val="uk-UA"/>
        </w:rPr>
      </w:pPr>
    </w:p>
    <w:sectPr w:rsidR="00C56F6C" w:rsidRPr="00BF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BM Plex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D6766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6"/>
        <w:sz w:val="28"/>
        <w:szCs w:val="28"/>
        <w:lang w:val="uk-UA"/>
      </w:rPr>
    </w:lvl>
  </w:abstractNum>
  <w:abstractNum w:abstractNumId="2">
    <w:nsid w:val="00000003"/>
    <w:multiLevelType w:val="singleLevel"/>
    <w:tmpl w:val="00000003"/>
    <w:name w:val="WW8Num12"/>
    <w:lvl w:ilvl="0">
      <w:start w:val="11"/>
      <w:numFmt w:val="bullet"/>
      <w:lvlText w:val="-"/>
      <w:lvlJc w:val="left"/>
      <w:pPr>
        <w:tabs>
          <w:tab w:val="num" w:pos="585"/>
        </w:tabs>
        <w:ind w:left="585" w:hanging="510"/>
      </w:pPr>
      <w:rPr>
        <w:rFonts w:ascii="Times New Roman" w:hAnsi="Times New Roman" w:cs="Times New Roman"/>
      </w:rPr>
    </w:lvl>
  </w:abstractNum>
  <w:abstractNum w:abstractNumId="3">
    <w:nsid w:val="00224BC5"/>
    <w:multiLevelType w:val="hybridMultilevel"/>
    <w:tmpl w:val="779C382A"/>
    <w:lvl w:ilvl="0" w:tplc="106C72FA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C4647"/>
    <w:multiLevelType w:val="hybridMultilevel"/>
    <w:tmpl w:val="3BC0BA50"/>
    <w:lvl w:ilvl="0" w:tplc="5626512A">
      <w:start w:val="1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08EE3C1B"/>
    <w:multiLevelType w:val="multilevel"/>
    <w:tmpl w:val="9606E6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0ECC5FAB"/>
    <w:multiLevelType w:val="hybridMultilevel"/>
    <w:tmpl w:val="7BDAB67A"/>
    <w:lvl w:ilvl="0" w:tplc="70746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A5039"/>
    <w:multiLevelType w:val="hybridMultilevel"/>
    <w:tmpl w:val="6C38091A"/>
    <w:lvl w:ilvl="0" w:tplc="27483C6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13C80488"/>
    <w:multiLevelType w:val="multilevel"/>
    <w:tmpl w:val="FF423DB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B1F261C"/>
    <w:multiLevelType w:val="hybridMultilevel"/>
    <w:tmpl w:val="6106A5CA"/>
    <w:lvl w:ilvl="0" w:tplc="41129A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023248A"/>
    <w:multiLevelType w:val="hybridMultilevel"/>
    <w:tmpl w:val="4C9EA286"/>
    <w:lvl w:ilvl="0" w:tplc="2D08E276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12094"/>
    <w:multiLevelType w:val="hybridMultilevel"/>
    <w:tmpl w:val="91087420"/>
    <w:lvl w:ilvl="0" w:tplc="55A2A7BE">
      <w:start w:val="1"/>
      <w:numFmt w:val="decimal"/>
      <w:lvlText w:val="%1."/>
      <w:lvlJc w:val="left"/>
      <w:pPr>
        <w:ind w:left="277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851" w:hanging="360"/>
      </w:pPr>
    </w:lvl>
    <w:lvl w:ilvl="2" w:tplc="0419001B">
      <w:start w:val="1"/>
      <w:numFmt w:val="lowerRoman"/>
      <w:lvlText w:val="%3."/>
      <w:lvlJc w:val="right"/>
      <w:pPr>
        <w:ind w:left="4571" w:hanging="180"/>
      </w:pPr>
    </w:lvl>
    <w:lvl w:ilvl="3" w:tplc="0419000F">
      <w:start w:val="1"/>
      <w:numFmt w:val="decimal"/>
      <w:lvlText w:val="%4."/>
      <w:lvlJc w:val="left"/>
      <w:pPr>
        <w:ind w:left="5291" w:hanging="360"/>
      </w:pPr>
    </w:lvl>
    <w:lvl w:ilvl="4" w:tplc="04190019">
      <w:start w:val="1"/>
      <w:numFmt w:val="lowerLetter"/>
      <w:lvlText w:val="%5."/>
      <w:lvlJc w:val="left"/>
      <w:pPr>
        <w:ind w:left="6011" w:hanging="360"/>
      </w:pPr>
    </w:lvl>
    <w:lvl w:ilvl="5" w:tplc="0419001B">
      <w:start w:val="1"/>
      <w:numFmt w:val="lowerRoman"/>
      <w:lvlText w:val="%6."/>
      <w:lvlJc w:val="right"/>
      <w:pPr>
        <w:ind w:left="6731" w:hanging="180"/>
      </w:pPr>
    </w:lvl>
    <w:lvl w:ilvl="6" w:tplc="0419000F">
      <w:start w:val="1"/>
      <w:numFmt w:val="decimal"/>
      <w:lvlText w:val="%7."/>
      <w:lvlJc w:val="left"/>
      <w:pPr>
        <w:ind w:left="7451" w:hanging="360"/>
      </w:pPr>
    </w:lvl>
    <w:lvl w:ilvl="7" w:tplc="04190019">
      <w:start w:val="1"/>
      <w:numFmt w:val="lowerLetter"/>
      <w:lvlText w:val="%8."/>
      <w:lvlJc w:val="left"/>
      <w:pPr>
        <w:ind w:left="8171" w:hanging="360"/>
      </w:pPr>
    </w:lvl>
    <w:lvl w:ilvl="8" w:tplc="0419001B">
      <w:start w:val="1"/>
      <w:numFmt w:val="lowerRoman"/>
      <w:lvlText w:val="%9."/>
      <w:lvlJc w:val="right"/>
      <w:pPr>
        <w:ind w:left="8891" w:hanging="180"/>
      </w:pPr>
    </w:lvl>
  </w:abstractNum>
  <w:abstractNum w:abstractNumId="12">
    <w:nsid w:val="31967C6F"/>
    <w:multiLevelType w:val="hybridMultilevel"/>
    <w:tmpl w:val="65F83C4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83033"/>
    <w:multiLevelType w:val="hybridMultilevel"/>
    <w:tmpl w:val="1E421D40"/>
    <w:lvl w:ilvl="0" w:tplc="872642D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98B3A61"/>
    <w:multiLevelType w:val="multilevel"/>
    <w:tmpl w:val="40B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hint="default"/>
        <w:lang w:val="uk-UA" w:eastAsia="en-US" w:bidi="ar-S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C35D7"/>
    <w:multiLevelType w:val="hybridMultilevel"/>
    <w:tmpl w:val="0046CD74"/>
    <w:lvl w:ilvl="0" w:tplc="2D1AB08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D47885"/>
    <w:multiLevelType w:val="multilevel"/>
    <w:tmpl w:val="BF0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395FEF"/>
    <w:multiLevelType w:val="multilevel"/>
    <w:tmpl w:val="35BE101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764"/>
        </w:tabs>
        <w:ind w:left="37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  <w:sz w:val="20"/>
      </w:rPr>
    </w:lvl>
  </w:abstractNum>
  <w:abstractNum w:abstractNumId="18">
    <w:nsid w:val="49300780"/>
    <w:multiLevelType w:val="hybridMultilevel"/>
    <w:tmpl w:val="E0A4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524BD"/>
    <w:multiLevelType w:val="hybridMultilevel"/>
    <w:tmpl w:val="B0648B2C"/>
    <w:lvl w:ilvl="0" w:tplc="DAC0B7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A10E8"/>
    <w:multiLevelType w:val="hybridMultilevel"/>
    <w:tmpl w:val="A6ACA3D2"/>
    <w:lvl w:ilvl="0" w:tplc="96D01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703AB"/>
    <w:multiLevelType w:val="hybridMultilevel"/>
    <w:tmpl w:val="8530F22E"/>
    <w:lvl w:ilvl="0" w:tplc="7F0C6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F69A9"/>
    <w:multiLevelType w:val="multilevel"/>
    <w:tmpl w:val="A13E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1D14CD"/>
    <w:multiLevelType w:val="hybridMultilevel"/>
    <w:tmpl w:val="6616D5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5C5627"/>
    <w:multiLevelType w:val="multilevel"/>
    <w:tmpl w:val="C0EA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EF47FE"/>
    <w:multiLevelType w:val="multilevel"/>
    <w:tmpl w:val="9606E6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>
    <w:nsid w:val="793C497D"/>
    <w:multiLevelType w:val="hybridMultilevel"/>
    <w:tmpl w:val="65F83C40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F2715"/>
    <w:multiLevelType w:val="hybridMultilevel"/>
    <w:tmpl w:val="C554B40E"/>
    <w:lvl w:ilvl="0" w:tplc="C1148D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6"/>
  </w:num>
  <w:num w:numId="10">
    <w:abstractNumId w:val="22"/>
  </w:num>
  <w:num w:numId="11">
    <w:abstractNumId w:val="24"/>
  </w:num>
  <w:num w:numId="12">
    <w:abstractNumId w:val="25"/>
  </w:num>
  <w:num w:numId="13">
    <w:abstractNumId w:val="14"/>
  </w:num>
  <w:num w:numId="14">
    <w:abstractNumId w:val="12"/>
  </w:num>
  <w:num w:numId="15">
    <w:abstractNumId w:val="26"/>
  </w:num>
  <w:num w:numId="16">
    <w:abstractNumId w:val="9"/>
  </w:num>
  <w:num w:numId="17">
    <w:abstractNumId w:val="19"/>
  </w:num>
  <w:num w:numId="18">
    <w:abstractNumId w:val="8"/>
  </w:num>
  <w:num w:numId="19">
    <w:abstractNumId w:val="18"/>
  </w:num>
  <w:num w:numId="20">
    <w:abstractNumId w:val="27"/>
  </w:num>
  <w:num w:numId="21">
    <w:abstractNumId w:val="3"/>
  </w:num>
  <w:num w:numId="22">
    <w:abstractNumId w:val="17"/>
  </w:num>
  <w:num w:numId="23">
    <w:abstractNumId w:val="14"/>
  </w:num>
  <w:num w:numId="24">
    <w:abstractNumId w:val="23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4"/>
  </w:num>
  <w:num w:numId="29">
    <w:abstractNumId w:val="1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1B"/>
    <w:rsid w:val="0006776C"/>
    <w:rsid w:val="000E7A40"/>
    <w:rsid w:val="001125FE"/>
    <w:rsid w:val="00152304"/>
    <w:rsid w:val="00210DFB"/>
    <w:rsid w:val="002F3975"/>
    <w:rsid w:val="00303F6F"/>
    <w:rsid w:val="00315FB8"/>
    <w:rsid w:val="00344187"/>
    <w:rsid w:val="003B110A"/>
    <w:rsid w:val="00401F4B"/>
    <w:rsid w:val="0041353D"/>
    <w:rsid w:val="00474526"/>
    <w:rsid w:val="004B2ACF"/>
    <w:rsid w:val="0051609B"/>
    <w:rsid w:val="00522E04"/>
    <w:rsid w:val="00524C2D"/>
    <w:rsid w:val="00574064"/>
    <w:rsid w:val="0060381B"/>
    <w:rsid w:val="00610EE5"/>
    <w:rsid w:val="0064340C"/>
    <w:rsid w:val="00696DEC"/>
    <w:rsid w:val="006A58C5"/>
    <w:rsid w:val="00705179"/>
    <w:rsid w:val="007260AF"/>
    <w:rsid w:val="00745188"/>
    <w:rsid w:val="0077458E"/>
    <w:rsid w:val="007D37DD"/>
    <w:rsid w:val="007F5CCD"/>
    <w:rsid w:val="00845C3A"/>
    <w:rsid w:val="00957DFA"/>
    <w:rsid w:val="009F3680"/>
    <w:rsid w:val="009F73F7"/>
    <w:rsid w:val="00A15715"/>
    <w:rsid w:val="00A435B6"/>
    <w:rsid w:val="00A43AA1"/>
    <w:rsid w:val="00A62A67"/>
    <w:rsid w:val="00A832A8"/>
    <w:rsid w:val="00AB46BA"/>
    <w:rsid w:val="00AC7DCE"/>
    <w:rsid w:val="00AD773B"/>
    <w:rsid w:val="00B649EA"/>
    <w:rsid w:val="00BA4388"/>
    <w:rsid w:val="00BE0F86"/>
    <w:rsid w:val="00BF53E2"/>
    <w:rsid w:val="00C03DD1"/>
    <w:rsid w:val="00C56F6C"/>
    <w:rsid w:val="00C74876"/>
    <w:rsid w:val="00D84B55"/>
    <w:rsid w:val="00E63EBF"/>
    <w:rsid w:val="00EE3DE2"/>
    <w:rsid w:val="00EE5C6E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n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633C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rsid w:val="00FF63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uk-UA" w:eastAsia="zh-CN"/>
    </w:rPr>
  </w:style>
  <w:style w:type="paragraph" w:styleId="3">
    <w:name w:val="heading 3"/>
    <w:basedOn w:val="a"/>
    <w:link w:val="30"/>
    <w:uiPriority w:val="99"/>
    <w:qFormat/>
    <w:rsid w:val="00FF633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uk-UA" w:eastAsia="zh-CN"/>
    </w:rPr>
  </w:style>
  <w:style w:type="paragraph" w:styleId="4">
    <w:name w:val="heading 4"/>
    <w:basedOn w:val="a"/>
    <w:link w:val="40"/>
    <w:uiPriority w:val="99"/>
    <w:qFormat/>
    <w:rsid w:val="00FF63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F53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5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F633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F633C"/>
    <w:rPr>
      <w:rFonts w:ascii="Cambria" w:eastAsia="Times New Roman" w:hAnsi="Cambria" w:cs="Times New Roman"/>
      <w:b/>
      <w:bCs/>
      <w:color w:val="4F81BD"/>
      <w:sz w:val="26"/>
      <w:szCs w:val="26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FF633C"/>
    <w:rPr>
      <w:rFonts w:ascii="Cambria" w:eastAsia="Times New Roman" w:hAnsi="Cambria" w:cs="Times New Roman"/>
      <w:b/>
      <w:bCs/>
      <w:color w:val="4F81BD"/>
      <w:sz w:val="20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uiPriority w:val="99"/>
    <w:rsid w:val="00FF633C"/>
    <w:rPr>
      <w:rFonts w:ascii="Calibri" w:eastAsia="Times New Roman" w:hAnsi="Calibri" w:cs="Times New Roman"/>
      <w:b/>
      <w:bCs/>
      <w:sz w:val="28"/>
      <w:szCs w:val="28"/>
      <w:lang w:val="uk-UA" w:eastAsia="zh-CN"/>
    </w:rPr>
  </w:style>
  <w:style w:type="numbering" w:customStyle="1" w:styleId="11">
    <w:name w:val="Нет списка1"/>
    <w:next w:val="a2"/>
    <w:uiPriority w:val="99"/>
    <w:semiHidden/>
    <w:unhideWhenUsed/>
    <w:rsid w:val="00FF633C"/>
  </w:style>
  <w:style w:type="character" w:styleId="a5">
    <w:name w:val="Hyperlink"/>
    <w:uiPriority w:val="99"/>
    <w:unhideWhenUsed/>
    <w:rsid w:val="00FF633C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FF633C"/>
    <w:pPr>
      <w:ind w:left="720"/>
      <w:contextualSpacing/>
    </w:pPr>
    <w:rPr>
      <w:rFonts w:ascii="Calibri" w:eastAsia="Calibri" w:hAnsi="Calibri"/>
      <w:sz w:val="22"/>
      <w:szCs w:val="22"/>
      <w:lang w:val="uk-UA" w:eastAsia="zh-CN"/>
    </w:rPr>
  </w:style>
  <w:style w:type="paragraph" w:customStyle="1" w:styleId="12">
    <w:name w:val="1"/>
    <w:uiPriority w:val="99"/>
    <w:rsid w:val="00FF633C"/>
    <w:pPr>
      <w:spacing w:after="0"/>
      <w:jc w:val="center"/>
    </w:pPr>
    <w:rPr>
      <w:rFonts w:ascii="Times New Roman" w:eastAsia="Calibri" w:hAnsi="Times New Roman" w:cs="Times New Roman"/>
      <w:b/>
      <w:caps/>
      <w:sz w:val="28"/>
      <w:szCs w:val="20"/>
      <w:lang w:val="uk-UA" w:eastAsia="zh-CN"/>
    </w:rPr>
  </w:style>
  <w:style w:type="paragraph" w:customStyle="1" w:styleId="21">
    <w:name w:val="2"/>
    <w:uiPriority w:val="99"/>
    <w:rsid w:val="00FF633C"/>
    <w:pPr>
      <w:spacing w:after="0"/>
      <w:jc w:val="both"/>
    </w:pPr>
    <w:rPr>
      <w:rFonts w:ascii="Times New Roman" w:eastAsia="Calibri" w:hAnsi="Times New Roman" w:cs="Times New Roman"/>
      <w:b/>
      <w:i/>
      <w:sz w:val="28"/>
      <w:szCs w:val="20"/>
      <w:lang w:val="uk-UA" w:eastAsia="zh-CN"/>
    </w:rPr>
  </w:style>
  <w:style w:type="paragraph" w:customStyle="1" w:styleId="31">
    <w:name w:val="3"/>
    <w:uiPriority w:val="99"/>
    <w:rsid w:val="00FF633C"/>
    <w:pPr>
      <w:tabs>
        <w:tab w:val="left" w:pos="1036"/>
      </w:tabs>
      <w:spacing w:after="0"/>
      <w:ind w:left="709"/>
    </w:pPr>
    <w:rPr>
      <w:rFonts w:ascii="Times New Roman" w:eastAsia="Calibri" w:hAnsi="Times New Roman" w:cs="Times New Roman"/>
      <w:i/>
      <w:sz w:val="28"/>
      <w:szCs w:val="20"/>
      <w:lang w:val="uk-UA" w:eastAsia="zh-CN"/>
    </w:rPr>
  </w:style>
  <w:style w:type="paragraph" w:styleId="13">
    <w:name w:val="toc 1"/>
    <w:basedOn w:val="a"/>
    <w:uiPriority w:val="99"/>
    <w:rsid w:val="00FF633C"/>
    <w:pPr>
      <w:spacing w:before="120" w:after="120"/>
    </w:pPr>
    <w:rPr>
      <w:rFonts w:ascii="Calibri" w:eastAsia="Calibri" w:hAnsi="Calibri"/>
      <w:b/>
      <w:bCs/>
      <w:caps/>
      <w:sz w:val="20"/>
      <w:szCs w:val="20"/>
      <w:lang w:val="uk-UA" w:eastAsia="zh-CN"/>
    </w:rPr>
  </w:style>
  <w:style w:type="paragraph" w:styleId="22">
    <w:name w:val="toc 2"/>
    <w:basedOn w:val="a"/>
    <w:uiPriority w:val="99"/>
    <w:rsid w:val="00FF633C"/>
    <w:pPr>
      <w:ind w:left="220"/>
    </w:pPr>
    <w:rPr>
      <w:rFonts w:ascii="Calibri" w:eastAsia="Calibri" w:hAnsi="Calibri"/>
      <w:smallCaps/>
      <w:sz w:val="20"/>
      <w:szCs w:val="20"/>
      <w:lang w:val="uk-UA" w:eastAsia="zh-CN"/>
    </w:rPr>
  </w:style>
  <w:style w:type="paragraph" w:styleId="32">
    <w:name w:val="toc 3"/>
    <w:basedOn w:val="a"/>
    <w:uiPriority w:val="99"/>
    <w:rsid w:val="00FF633C"/>
    <w:pPr>
      <w:ind w:left="440"/>
    </w:pPr>
    <w:rPr>
      <w:rFonts w:ascii="Calibri" w:eastAsia="Calibri" w:hAnsi="Calibri"/>
      <w:i/>
      <w:iCs/>
      <w:sz w:val="20"/>
      <w:szCs w:val="20"/>
      <w:lang w:val="uk-UA" w:eastAsia="zh-CN"/>
    </w:rPr>
  </w:style>
  <w:style w:type="paragraph" w:styleId="41">
    <w:name w:val="toc 4"/>
    <w:basedOn w:val="a"/>
    <w:uiPriority w:val="99"/>
    <w:rsid w:val="00FF633C"/>
    <w:pPr>
      <w:ind w:left="660"/>
    </w:pPr>
    <w:rPr>
      <w:rFonts w:ascii="Calibri" w:eastAsia="Calibri" w:hAnsi="Calibri"/>
      <w:sz w:val="18"/>
      <w:szCs w:val="18"/>
      <w:lang w:val="uk-UA" w:eastAsia="zh-CN"/>
    </w:rPr>
  </w:style>
  <w:style w:type="paragraph" w:styleId="5">
    <w:name w:val="toc 5"/>
    <w:basedOn w:val="a"/>
    <w:uiPriority w:val="99"/>
    <w:rsid w:val="00FF633C"/>
    <w:pPr>
      <w:ind w:left="880"/>
    </w:pPr>
    <w:rPr>
      <w:rFonts w:ascii="Calibri" w:eastAsia="Calibri" w:hAnsi="Calibri"/>
      <w:sz w:val="18"/>
      <w:szCs w:val="18"/>
      <w:lang w:val="uk-UA" w:eastAsia="zh-CN"/>
    </w:rPr>
  </w:style>
  <w:style w:type="paragraph" w:styleId="6">
    <w:name w:val="toc 6"/>
    <w:basedOn w:val="a"/>
    <w:uiPriority w:val="99"/>
    <w:rsid w:val="00FF633C"/>
    <w:pPr>
      <w:ind w:left="1100"/>
    </w:pPr>
    <w:rPr>
      <w:rFonts w:ascii="Calibri" w:eastAsia="Calibri" w:hAnsi="Calibri"/>
      <w:sz w:val="18"/>
      <w:szCs w:val="18"/>
      <w:lang w:val="uk-UA" w:eastAsia="zh-CN"/>
    </w:rPr>
  </w:style>
  <w:style w:type="paragraph" w:styleId="7">
    <w:name w:val="toc 7"/>
    <w:basedOn w:val="a"/>
    <w:uiPriority w:val="99"/>
    <w:rsid w:val="00FF633C"/>
    <w:pPr>
      <w:ind w:left="1320"/>
    </w:pPr>
    <w:rPr>
      <w:rFonts w:ascii="Calibri" w:eastAsia="Calibri" w:hAnsi="Calibri"/>
      <w:sz w:val="18"/>
      <w:szCs w:val="18"/>
      <w:lang w:val="uk-UA" w:eastAsia="zh-CN"/>
    </w:rPr>
  </w:style>
  <w:style w:type="paragraph" w:styleId="8">
    <w:name w:val="toc 8"/>
    <w:basedOn w:val="a"/>
    <w:uiPriority w:val="99"/>
    <w:rsid w:val="00FF633C"/>
    <w:pPr>
      <w:ind w:left="1540"/>
    </w:pPr>
    <w:rPr>
      <w:rFonts w:ascii="Calibri" w:eastAsia="Calibri" w:hAnsi="Calibri"/>
      <w:sz w:val="18"/>
      <w:szCs w:val="18"/>
      <w:lang w:val="uk-UA" w:eastAsia="zh-CN"/>
    </w:rPr>
  </w:style>
  <w:style w:type="paragraph" w:styleId="9">
    <w:name w:val="toc 9"/>
    <w:basedOn w:val="a"/>
    <w:uiPriority w:val="99"/>
    <w:rsid w:val="00FF633C"/>
    <w:pPr>
      <w:ind w:left="1760"/>
    </w:pPr>
    <w:rPr>
      <w:rFonts w:ascii="Calibri" w:eastAsia="Calibri" w:hAnsi="Calibri"/>
      <w:sz w:val="18"/>
      <w:szCs w:val="18"/>
      <w:lang w:val="uk-UA" w:eastAsia="zh-CN"/>
    </w:rPr>
  </w:style>
  <w:style w:type="paragraph" w:customStyle="1" w:styleId="a8">
    <w:name w:val="Знак"/>
    <w:uiPriority w:val="99"/>
    <w:rsid w:val="00FF63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9">
    <w:name w:val="Знак Знак Знак Знак"/>
    <w:uiPriority w:val="99"/>
    <w:rsid w:val="00FF633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styleId="aa">
    <w:name w:val="Normal (Web)"/>
    <w:aliases w:val="Обычный (Web)"/>
    <w:basedOn w:val="a"/>
    <w:uiPriority w:val="34"/>
    <w:qFormat/>
    <w:rsid w:val="00FF633C"/>
    <w:pPr>
      <w:spacing w:before="100" w:beforeAutospacing="1" w:after="100" w:afterAutospacing="1"/>
    </w:pPr>
    <w:rPr>
      <w:lang w:val="uk-UA" w:eastAsia="zh-CN"/>
    </w:rPr>
  </w:style>
  <w:style w:type="paragraph" w:styleId="ab">
    <w:name w:val="Body Text Indent"/>
    <w:basedOn w:val="a"/>
    <w:link w:val="ac"/>
    <w:uiPriority w:val="99"/>
    <w:rsid w:val="00FF633C"/>
    <w:pPr>
      <w:spacing w:after="120"/>
      <w:ind w:left="283" w:firstLine="709"/>
    </w:pPr>
    <w:rPr>
      <w:rFonts w:ascii="Calibri" w:eastAsia="Calibri" w:hAnsi="Calibri"/>
      <w:sz w:val="20"/>
      <w:szCs w:val="20"/>
      <w:lang w:val="uk-UA"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rsid w:val="00FF633C"/>
    <w:rPr>
      <w:rFonts w:ascii="Calibri" w:eastAsia="Calibri" w:hAnsi="Calibri" w:cs="Times New Roman"/>
      <w:sz w:val="20"/>
      <w:szCs w:val="20"/>
      <w:lang w:val="uk-UA" w:eastAsia="zh-CN"/>
    </w:rPr>
  </w:style>
  <w:style w:type="paragraph" w:styleId="ad">
    <w:name w:val="Title"/>
    <w:basedOn w:val="a"/>
    <w:link w:val="ae"/>
    <w:uiPriority w:val="99"/>
    <w:qFormat/>
    <w:rsid w:val="00FF633C"/>
    <w:pPr>
      <w:jc w:val="center"/>
    </w:pPr>
    <w:rPr>
      <w:b/>
      <w:sz w:val="28"/>
      <w:szCs w:val="20"/>
      <w:lang w:val="uk-UA" w:eastAsia="zh-CN"/>
    </w:rPr>
  </w:style>
  <w:style w:type="character" w:customStyle="1" w:styleId="ae">
    <w:name w:val="Название Знак"/>
    <w:basedOn w:val="a0"/>
    <w:link w:val="ad"/>
    <w:uiPriority w:val="99"/>
    <w:rsid w:val="00FF633C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23">
    <w:name w:val="Body Text Indent 2"/>
    <w:basedOn w:val="a"/>
    <w:link w:val="24"/>
    <w:uiPriority w:val="99"/>
    <w:rsid w:val="00FF633C"/>
    <w:pPr>
      <w:spacing w:after="120" w:line="480" w:lineRule="auto"/>
      <w:ind w:left="283"/>
    </w:pPr>
    <w:rPr>
      <w:lang w:val="x-none" w:eastAsia="zh-C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F633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bt1">
    <w:name w:val="Основной текст.Текст1.bt1"/>
    <w:uiPriority w:val="99"/>
    <w:rsid w:val="00FF63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">
    <w:name w:val="Body Text"/>
    <w:aliases w:val="Знак Знак Знак Знак Знак Знак"/>
    <w:basedOn w:val="a"/>
    <w:link w:val="af0"/>
    <w:uiPriority w:val="99"/>
    <w:qFormat/>
    <w:rsid w:val="00FF633C"/>
    <w:pPr>
      <w:spacing w:after="120"/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0">
    <w:name w:val="Основной текст Знак"/>
    <w:aliases w:val="Знак Знак Знак Знак Знак Знак Знак"/>
    <w:basedOn w:val="a0"/>
    <w:link w:val="af"/>
    <w:uiPriority w:val="99"/>
    <w:rsid w:val="00FF633C"/>
    <w:rPr>
      <w:rFonts w:ascii="Calibri" w:eastAsia="Calibri" w:hAnsi="Calibri" w:cs="Times New Roman"/>
      <w:lang w:val="uk-UA" w:eastAsia="zh-CN"/>
    </w:rPr>
  </w:style>
  <w:style w:type="paragraph" w:customStyle="1" w:styleId="130">
    <w:name w:val="1 3 пункт"/>
    <w:basedOn w:val="32"/>
    <w:uiPriority w:val="99"/>
    <w:rsid w:val="00FF633C"/>
  </w:style>
  <w:style w:type="paragraph" w:customStyle="1" w:styleId="af1">
    <w:name w:val="Нормальний текст"/>
    <w:uiPriority w:val="99"/>
    <w:rsid w:val="00FF633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zh-CN"/>
    </w:rPr>
  </w:style>
  <w:style w:type="paragraph" w:customStyle="1" w:styleId="14">
    <w:name w:val="Обычный1"/>
    <w:uiPriority w:val="99"/>
    <w:rsid w:val="00FF633C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15">
    <w:name w:val="Абзац списка1"/>
    <w:uiPriority w:val="99"/>
    <w:rsid w:val="00FF633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HTML">
    <w:name w:val="HTML Preformatted"/>
    <w:basedOn w:val="a"/>
    <w:link w:val="HTML0"/>
    <w:uiPriority w:val="99"/>
    <w:rsid w:val="00FF6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uk-UA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FF633C"/>
    <w:rPr>
      <w:rFonts w:ascii="Courier New" w:eastAsia="Calibri" w:hAnsi="Courier New" w:cs="Times New Roman"/>
      <w:sz w:val="24"/>
      <w:szCs w:val="24"/>
      <w:lang w:val="uk-UA" w:eastAsia="zh-CN"/>
    </w:rPr>
  </w:style>
  <w:style w:type="paragraph" w:customStyle="1" w:styleId="131">
    <w:name w:val="13"/>
    <w:uiPriority w:val="99"/>
    <w:rsid w:val="00FF633C"/>
    <w:pPr>
      <w:spacing w:after="0" w:line="240" w:lineRule="auto"/>
    </w:pPr>
    <w:rPr>
      <w:rFonts w:ascii="Times New Roman" w:eastAsia="SimSun" w:hAnsi="Times New Roman" w:cs="Times New Roman"/>
      <w:b/>
      <w:kern w:val="1"/>
      <w:sz w:val="27"/>
      <w:szCs w:val="20"/>
      <w:lang w:val="en-US" w:eastAsia="zh-CN"/>
    </w:rPr>
  </w:style>
  <w:style w:type="paragraph" w:customStyle="1" w:styleId="rvps2">
    <w:name w:val="rvps2"/>
    <w:uiPriority w:val="99"/>
    <w:rsid w:val="00FF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3">
    <w:name w:val="Style3"/>
    <w:uiPriority w:val="99"/>
    <w:rsid w:val="00FF633C"/>
    <w:pPr>
      <w:widowControl w:val="0"/>
      <w:spacing w:after="0" w:line="413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210">
    <w:name w:val="Основной текст с отступом 21"/>
    <w:uiPriority w:val="99"/>
    <w:rsid w:val="00FF633C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0">
    <w:name w:val="11"/>
    <w:basedOn w:val="15"/>
    <w:uiPriority w:val="99"/>
    <w:rsid w:val="00FF633C"/>
  </w:style>
  <w:style w:type="paragraph" w:customStyle="1" w:styleId="220">
    <w:name w:val="22"/>
    <w:basedOn w:val="23"/>
    <w:uiPriority w:val="99"/>
    <w:rsid w:val="00FF633C"/>
    <w:pPr>
      <w:shd w:val="solid" w:color="B8CCE4" w:fill="auto"/>
    </w:pPr>
  </w:style>
  <w:style w:type="paragraph" w:styleId="af2">
    <w:name w:val="header"/>
    <w:basedOn w:val="a"/>
    <w:link w:val="af3"/>
    <w:uiPriority w:val="99"/>
    <w:rsid w:val="00FF633C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FF633C"/>
    <w:rPr>
      <w:rFonts w:ascii="Calibri" w:eastAsia="Calibri" w:hAnsi="Calibri" w:cs="Times New Roman"/>
      <w:lang w:val="uk-UA" w:eastAsia="zh-CN"/>
    </w:rPr>
  </w:style>
  <w:style w:type="paragraph" w:styleId="af4">
    <w:name w:val="footer"/>
    <w:basedOn w:val="a"/>
    <w:link w:val="af5"/>
    <w:uiPriority w:val="99"/>
    <w:rsid w:val="00FF633C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FF633C"/>
    <w:rPr>
      <w:rFonts w:ascii="Calibri" w:eastAsia="Calibri" w:hAnsi="Calibri" w:cs="Times New Roman"/>
      <w:lang w:val="uk-UA" w:eastAsia="zh-CN"/>
    </w:rPr>
  </w:style>
  <w:style w:type="paragraph" w:customStyle="1" w:styleId="af6">
    <w:name w:val="Знак Знак"/>
    <w:uiPriority w:val="99"/>
    <w:rsid w:val="00FF63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6">
    <w:name w:val="Обычный 1"/>
    <w:uiPriority w:val="99"/>
    <w:rsid w:val="00FF633C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val="uk-UA" w:eastAsia="zh-CN"/>
    </w:rPr>
  </w:style>
  <w:style w:type="paragraph" w:customStyle="1" w:styleId="af7">
    <w:name w:val="Знак Знак Знак Знак Знак Знак Знак Знак Знак Знак Знак Знак Знак Знак Знак Знак Знак"/>
    <w:uiPriority w:val="99"/>
    <w:rsid w:val="00FF63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utitle">
    <w:name w:val="utitle"/>
    <w:uiPriority w:val="99"/>
    <w:rsid w:val="00FF63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qFormat/>
    <w:rsid w:val="00FF633C"/>
    <w:pPr>
      <w:suppressAutoHyphens/>
      <w:spacing w:after="0" w:line="240" w:lineRule="auto"/>
    </w:pPr>
    <w:rPr>
      <w:rFonts w:ascii="Calibri" w:eastAsia="Times New Roman" w:hAnsi="Calibri" w:cs="Times New Roman"/>
      <w:lang w:val="uk-UA" w:eastAsia="zh-CN"/>
    </w:rPr>
  </w:style>
  <w:style w:type="paragraph" w:styleId="af8">
    <w:name w:val="Document Map"/>
    <w:basedOn w:val="a"/>
    <w:link w:val="af9"/>
    <w:uiPriority w:val="99"/>
    <w:rsid w:val="00FF633C"/>
    <w:rPr>
      <w:rFonts w:ascii="Tahoma" w:eastAsia="Calibri" w:hAnsi="Tahoma"/>
      <w:sz w:val="16"/>
      <w:szCs w:val="16"/>
      <w:lang w:val="uk-UA" w:eastAsia="zh-CN"/>
    </w:rPr>
  </w:style>
  <w:style w:type="character" w:customStyle="1" w:styleId="af9">
    <w:name w:val="Схема документа Знак"/>
    <w:basedOn w:val="a0"/>
    <w:link w:val="af8"/>
    <w:uiPriority w:val="99"/>
    <w:rsid w:val="00FF633C"/>
    <w:rPr>
      <w:rFonts w:ascii="Tahoma" w:eastAsia="Calibri" w:hAnsi="Tahoma" w:cs="Times New Roman"/>
      <w:sz w:val="16"/>
      <w:szCs w:val="16"/>
      <w:lang w:val="uk-UA" w:eastAsia="zh-CN"/>
    </w:rPr>
  </w:style>
  <w:style w:type="paragraph" w:customStyle="1" w:styleId="25">
    <w:name w:val="Без интервала2"/>
    <w:uiPriority w:val="99"/>
    <w:rsid w:val="00FF633C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fa">
    <w:name w:val="caption"/>
    <w:basedOn w:val="a"/>
    <w:uiPriority w:val="99"/>
    <w:qFormat/>
    <w:rsid w:val="00FF633C"/>
    <w:rPr>
      <w:rFonts w:ascii="Calibri" w:eastAsia="Calibri" w:hAnsi="Calibri"/>
      <w:b/>
      <w:bCs/>
      <w:sz w:val="20"/>
      <w:szCs w:val="20"/>
      <w:lang w:val="uk-UA" w:eastAsia="zh-CN"/>
    </w:rPr>
  </w:style>
  <w:style w:type="paragraph" w:customStyle="1" w:styleId="20133">
    <w:name w:val="2013 3"/>
    <w:basedOn w:val="32"/>
    <w:uiPriority w:val="99"/>
    <w:rsid w:val="00FF633C"/>
    <w:pPr>
      <w:tabs>
        <w:tab w:val="right" w:leader="dot" w:pos="9923"/>
      </w:tabs>
      <w:suppressAutoHyphens/>
      <w:ind w:left="0"/>
      <w:jc w:val="center"/>
    </w:pPr>
    <w:rPr>
      <w:b/>
      <w:i w:val="0"/>
      <w:iCs w:val="0"/>
      <w:sz w:val="28"/>
    </w:rPr>
  </w:style>
  <w:style w:type="paragraph" w:customStyle="1" w:styleId="afb">
    <w:name w:val="Знак Знак Знак Знак Знак Знак Знак Знак Знак Знак Знак Знак Знак Знак Знак Знак"/>
    <w:uiPriority w:val="99"/>
    <w:rsid w:val="00FF633C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afc">
    <w:name w:val="Знак Знак Знак Знак Знак Знак Знак Знак"/>
    <w:uiPriority w:val="99"/>
    <w:rsid w:val="00FF633C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33">
    <w:name w:val="Без интервала3"/>
    <w:uiPriority w:val="99"/>
    <w:rsid w:val="00FF633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20">
    <w:name w:val="Без интервала12"/>
    <w:uiPriority w:val="99"/>
    <w:rsid w:val="00FF633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Standard">
    <w:name w:val="Standard"/>
    <w:uiPriority w:val="99"/>
    <w:qFormat/>
    <w:rsid w:val="00FF633C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FF633C"/>
    <w:pPr>
      <w:spacing w:after="120"/>
    </w:pPr>
  </w:style>
  <w:style w:type="paragraph" w:customStyle="1" w:styleId="330">
    <w:name w:val="33"/>
    <w:uiPriority w:val="99"/>
    <w:rsid w:val="00FF633C"/>
    <w:pPr>
      <w:suppressAutoHyphens/>
      <w:spacing w:after="0" w:line="240" w:lineRule="auto"/>
      <w:ind w:left="1980" w:hanging="720"/>
    </w:pPr>
    <w:rPr>
      <w:rFonts w:ascii="Times New Roman" w:eastAsia="Times New Roman" w:hAnsi="Times New Roman" w:cs="Times New Roman"/>
      <w:i/>
      <w:sz w:val="28"/>
      <w:szCs w:val="28"/>
      <w:lang w:val="uk-UA" w:eastAsia="zh-CN"/>
    </w:rPr>
  </w:style>
  <w:style w:type="paragraph" w:customStyle="1" w:styleId="Default">
    <w:name w:val="Default"/>
    <w:uiPriority w:val="99"/>
    <w:rsid w:val="00FF6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6">
    <w:name w:val="Абзац списка2"/>
    <w:uiPriority w:val="99"/>
    <w:rsid w:val="00FF633C"/>
    <w:pPr>
      <w:widowControl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horttext">
    <w:name w:val="shorttext"/>
    <w:uiPriority w:val="99"/>
    <w:rsid w:val="00FF633C"/>
    <w:pPr>
      <w:shd w:val="solid" w:color="ECECEC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Block Text"/>
    <w:basedOn w:val="a"/>
    <w:uiPriority w:val="99"/>
    <w:rsid w:val="00FF633C"/>
    <w:pPr>
      <w:widowControl w:val="0"/>
      <w:spacing w:after="300" w:line="259" w:lineRule="auto"/>
      <w:ind w:left="40" w:right="600" w:firstLine="1440"/>
      <w:jc w:val="both"/>
    </w:pPr>
    <w:rPr>
      <w:b/>
      <w:sz w:val="28"/>
      <w:szCs w:val="20"/>
      <w:lang w:val="uk-UA" w:eastAsia="zh-CN"/>
    </w:rPr>
  </w:style>
  <w:style w:type="paragraph" w:customStyle="1" w:styleId="afe">
    <w:name w:val="Документ"/>
    <w:uiPriority w:val="99"/>
    <w:rsid w:val="00FF633C"/>
    <w:pPr>
      <w:spacing w:after="0" w:line="240" w:lineRule="auto"/>
      <w:ind w:firstLine="851"/>
      <w:jc w:val="both"/>
    </w:pPr>
    <w:rPr>
      <w:rFonts w:ascii="Times New Roman CYR" w:eastAsia="Calibri" w:hAnsi="Times New Roman CYR" w:cs="Times New Roman"/>
      <w:sz w:val="20"/>
      <w:szCs w:val="20"/>
      <w:lang w:val="uk-UA" w:eastAsia="zh-CN"/>
    </w:rPr>
  </w:style>
  <w:style w:type="paragraph" w:styleId="34">
    <w:name w:val="Body Text 3"/>
    <w:basedOn w:val="a"/>
    <w:link w:val="35"/>
    <w:uiPriority w:val="99"/>
    <w:rsid w:val="00FF633C"/>
    <w:pPr>
      <w:spacing w:after="120"/>
    </w:pPr>
    <w:rPr>
      <w:sz w:val="16"/>
      <w:szCs w:val="16"/>
      <w:lang w:val="x-none" w:eastAsia="zh-CN"/>
    </w:rPr>
  </w:style>
  <w:style w:type="character" w:customStyle="1" w:styleId="35">
    <w:name w:val="Основной текст 3 Знак"/>
    <w:basedOn w:val="a0"/>
    <w:link w:val="34"/>
    <w:uiPriority w:val="99"/>
    <w:rsid w:val="00FF633C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121">
    <w:name w:val="Знак Знак12"/>
    <w:uiPriority w:val="99"/>
    <w:rsid w:val="00FF63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8">
    <w:name w:val="Знак Знак Знак Знак Знак Знак Знак Знак Знак Знак Знак Знак Знак Знак Знак Знак1"/>
    <w:uiPriority w:val="99"/>
    <w:rsid w:val="00FF633C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19">
    <w:name w:val="Знак Знак Знак Знак Знак Знак Знак Знак1"/>
    <w:uiPriority w:val="99"/>
    <w:rsid w:val="00FF633C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111">
    <w:name w:val="Без интервала11"/>
    <w:uiPriority w:val="99"/>
    <w:rsid w:val="00FF63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">
    <w:name w:val="List"/>
    <w:basedOn w:val="a"/>
    <w:uiPriority w:val="99"/>
    <w:rsid w:val="00FF633C"/>
    <w:pPr>
      <w:suppressAutoHyphens/>
    </w:pPr>
    <w:rPr>
      <w:szCs w:val="20"/>
      <w:lang w:val="uk-UA" w:eastAsia="zh-CN"/>
    </w:rPr>
  </w:style>
  <w:style w:type="paragraph" w:customStyle="1" w:styleId="msonormalcxspmiddle">
    <w:name w:val="msonormalcxspmiddle"/>
    <w:uiPriority w:val="99"/>
    <w:rsid w:val="00FF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z-toc-title">
    <w:name w:val="ez-toc-title"/>
    <w:uiPriority w:val="99"/>
    <w:rsid w:val="00FF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2">
    <w:name w:val="Обычный11"/>
    <w:uiPriority w:val="99"/>
    <w:rsid w:val="00FF633C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27">
    <w:name w:val="Основной текст (2)"/>
    <w:uiPriority w:val="99"/>
    <w:rsid w:val="00FF633C"/>
    <w:pPr>
      <w:widowControl w:val="0"/>
      <w:shd w:val="solid" w:color="FFFFFF" w:fill="auto"/>
      <w:spacing w:after="0" w:line="336" w:lineRule="exact"/>
      <w:jc w:val="center"/>
    </w:pPr>
    <w:rPr>
      <w:rFonts w:ascii="Book Antiqua" w:eastAsia="Calibri" w:hAnsi="Book Antiqua" w:cs="Book Antiqua"/>
      <w:b/>
      <w:bCs/>
      <w:sz w:val="26"/>
      <w:szCs w:val="26"/>
      <w:lang w:eastAsia="zh-CN"/>
    </w:rPr>
  </w:style>
  <w:style w:type="paragraph" w:customStyle="1" w:styleId="28">
    <w:name w:val="Основной текст2"/>
    <w:uiPriority w:val="99"/>
    <w:rsid w:val="00FF633C"/>
    <w:pPr>
      <w:widowControl w:val="0"/>
      <w:shd w:val="solid" w:color="FFFFFF" w:fill="auto"/>
      <w:spacing w:before="300" w:after="0" w:line="346" w:lineRule="exact"/>
      <w:jc w:val="both"/>
    </w:pPr>
    <w:rPr>
      <w:rFonts w:ascii="Book Antiqua" w:eastAsia="Calibri" w:hAnsi="Book Antiqua" w:cs="Book Antiqua"/>
      <w:sz w:val="26"/>
      <w:szCs w:val="26"/>
      <w:lang w:eastAsia="zh-CN"/>
    </w:rPr>
  </w:style>
  <w:style w:type="paragraph" w:customStyle="1" w:styleId="aff0">
    <w:name w:val="Подпись к таблице"/>
    <w:uiPriority w:val="99"/>
    <w:rsid w:val="00FF633C"/>
    <w:pPr>
      <w:widowControl w:val="0"/>
      <w:shd w:val="solid" w:color="FFFFFF" w:fill="auto"/>
      <w:spacing w:after="0" w:line="240" w:lineRule="atLeast"/>
    </w:pPr>
    <w:rPr>
      <w:rFonts w:ascii="Book Antiqua" w:eastAsia="Calibri" w:hAnsi="Book Antiqua" w:cs="Book Antiqua"/>
      <w:sz w:val="26"/>
      <w:szCs w:val="26"/>
      <w:lang w:eastAsia="zh-CN"/>
    </w:rPr>
  </w:style>
  <w:style w:type="character" w:customStyle="1" w:styleId="1a">
    <w:name w:val="1 Знак"/>
    <w:uiPriority w:val="99"/>
    <w:rsid w:val="00FF633C"/>
    <w:rPr>
      <w:rFonts w:ascii="Times New Roman" w:hAnsi="Times New Roman"/>
      <w:b/>
      <w:caps/>
      <w:sz w:val="28"/>
      <w:lang w:val="uk-UA"/>
    </w:rPr>
  </w:style>
  <w:style w:type="character" w:customStyle="1" w:styleId="29">
    <w:name w:val="2 Знак"/>
    <w:uiPriority w:val="99"/>
    <w:rsid w:val="00FF633C"/>
    <w:rPr>
      <w:rFonts w:ascii="Times New Roman" w:hAnsi="Times New Roman"/>
      <w:b/>
      <w:i/>
      <w:sz w:val="28"/>
      <w:lang w:val="uk-UA"/>
    </w:rPr>
  </w:style>
  <w:style w:type="character" w:customStyle="1" w:styleId="36">
    <w:name w:val="3 Знак"/>
    <w:uiPriority w:val="99"/>
    <w:rsid w:val="00FF633C"/>
    <w:rPr>
      <w:rFonts w:ascii="Times New Roman" w:hAnsi="Times New Roman"/>
      <w:i/>
      <w:sz w:val="28"/>
      <w:lang w:val="uk-UA"/>
    </w:rPr>
  </w:style>
  <w:style w:type="character" w:customStyle="1" w:styleId="rvts9">
    <w:name w:val="rvts9"/>
    <w:uiPriority w:val="99"/>
    <w:rsid w:val="00FF633C"/>
  </w:style>
  <w:style w:type="character" w:customStyle="1" w:styleId="apple-converted-space">
    <w:name w:val="apple-converted-space"/>
    <w:uiPriority w:val="99"/>
    <w:rsid w:val="00FF633C"/>
  </w:style>
  <w:style w:type="character" w:customStyle="1" w:styleId="132">
    <w:name w:val="13 Знак"/>
    <w:uiPriority w:val="99"/>
    <w:rsid w:val="00FF633C"/>
    <w:rPr>
      <w:rFonts w:ascii="Times New Roman" w:eastAsia="SimSun" w:hAnsi="Times New Roman"/>
      <w:b/>
      <w:kern w:val="1"/>
      <w:sz w:val="27"/>
    </w:rPr>
  </w:style>
  <w:style w:type="character" w:customStyle="1" w:styleId="113">
    <w:name w:val="11 Знак"/>
    <w:uiPriority w:val="99"/>
    <w:rsid w:val="00FF633C"/>
    <w:rPr>
      <w:rFonts w:ascii="Times New Roman" w:hAnsi="Times New Roman"/>
      <w:b/>
      <w:caps/>
      <w:sz w:val="28"/>
      <w:lang w:val="uk-UA"/>
    </w:rPr>
  </w:style>
  <w:style w:type="character" w:customStyle="1" w:styleId="221">
    <w:name w:val="22 Знак"/>
    <w:uiPriority w:val="99"/>
    <w:rsid w:val="00FF633C"/>
    <w:rPr>
      <w:rFonts w:ascii="Times New Roman" w:hAnsi="Times New Roman"/>
      <w:b/>
      <w:i/>
      <w:sz w:val="28"/>
      <w:shd w:val="clear" w:color="auto" w:fill="B8CCE4"/>
      <w:lang w:val="uk-UA"/>
    </w:rPr>
  </w:style>
  <w:style w:type="character" w:styleId="aff1">
    <w:name w:val="page number"/>
    <w:uiPriority w:val="99"/>
    <w:rsid w:val="00FF633C"/>
    <w:rPr>
      <w:rFonts w:cs="Times New Roman"/>
    </w:rPr>
  </w:style>
  <w:style w:type="character" w:customStyle="1" w:styleId="NoSpacingChar">
    <w:name w:val="No Spacing Char"/>
    <w:uiPriority w:val="99"/>
    <w:rsid w:val="00FF633C"/>
    <w:rPr>
      <w:rFonts w:eastAsia="Times New Roman"/>
      <w:sz w:val="22"/>
      <w:lang w:val="uk-UA"/>
    </w:rPr>
  </w:style>
  <w:style w:type="character" w:styleId="aff2">
    <w:name w:val="Subtle Emphasis"/>
    <w:uiPriority w:val="99"/>
    <w:qFormat/>
    <w:rsid w:val="00FF633C"/>
    <w:rPr>
      <w:i/>
      <w:color w:val="808080"/>
    </w:rPr>
  </w:style>
  <w:style w:type="character" w:styleId="aff3">
    <w:name w:val="Strong"/>
    <w:uiPriority w:val="99"/>
    <w:qFormat/>
    <w:rsid w:val="00FF633C"/>
    <w:rPr>
      <w:rFonts w:cs="Times New Roman"/>
      <w:b/>
    </w:rPr>
  </w:style>
  <w:style w:type="character" w:customStyle="1" w:styleId="textexposedshow">
    <w:name w:val="text_exposed_show"/>
    <w:uiPriority w:val="99"/>
    <w:rsid w:val="00FF633C"/>
  </w:style>
  <w:style w:type="character" w:customStyle="1" w:styleId="201330">
    <w:name w:val="2013 3 Знак"/>
    <w:uiPriority w:val="99"/>
    <w:rsid w:val="00FF633C"/>
    <w:rPr>
      <w:b/>
      <w:sz w:val="28"/>
      <w:lang w:val="uk-UA"/>
    </w:rPr>
  </w:style>
  <w:style w:type="character" w:customStyle="1" w:styleId="aff4">
    <w:name w:val="Документ Знак"/>
    <w:uiPriority w:val="99"/>
    <w:rsid w:val="00FF633C"/>
    <w:rPr>
      <w:rFonts w:ascii="Times New Roman CYR" w:hAnsi="Times New Roman CYR"/>
      <w:sz w:val="20"/>
      <w:lang w:val="uk-UA"/>
    </w:rPr>
  </w:style>
  <w:style w:type="character" w:styleId="aff5">
    <w:name w:val="FollowedHyperlink"/>
    <w:uiPriority w:val="99"/>
    <w:rsid w:val="00FF633C"/>
    <w:rPr>
      <w:rFonts w:cs="Times New Roman"/>
      <w:color w:val="800080"/>
      <w:u w:val="single"/>
    </w:rPr>
  </w:style>
  <w:style w:type="character" w:customStyle="1" w:styleId="posted-on">
    <w:name w:val="posted-on"/>
    <w:uiPriority w:val="99"/>
    <w:rsid w:val="00FF633C"/>
  </w:style>
  <w:style w:type="character" w:customStyle="1" w:styleId="authorvcard">
    <w:name w:val="author vcard"/>
    <w:uiPriority w:val="99"/>
    <w:rsid w:val="00FF633C"/>
  </w:style>
  <w:style w:type="character" w:customStyle="1" w:styleId="comments">
    <w:name w:val="comments"/>
    <w:uiPriority w:val="99"/>
    <w:rsid w:val="00FF633C"/>
  </w:style>
  <w:style w:type="character" w:customStyle="1" w:styleId="ez-toc-section">
    <w:name w:val="ez-toc-section"/>
    <w:uiPriority w:val="99"/>
    <w:rsid w:val="00FF633C"/>
  </w:style>
  <w:style w:type="character" w:customStyle="1" w:styleId="50">
    <w:name w:val="Знак Знак5"/>
    <w:uiPriority w:val="99"/>
    <w:rsid w:val="00FF633C"/>
    <w:rPr>
      <w:rFonts w:ascii="Times New Roman" w:hAnsi="Times New Roman"/>
      <w:sz w:val="24"/>
      <w:lang w:val="ru-RU"/>
    </w:rPr>
  </w:style>
  <w:style w:type="character" w:customStyle="1" w:styleId="2a">
    <w:name w:val="Основной текст (2)_"/>
    <w:uiPriority w:val="99"/>
    <w:rsid w:val="00FF633C"/>
    <w:rPr>
      <w:rFonts w:ascii="Book Antiqua" w:hAnsi="Book Antiqua"/>
      <w:b/>
      <w:sz w:val="26"/>
      <w:shd w:val="clear" w:color="auto" w:fill="FFFFFF"/>
    </w:rPr>
  </w:style>
  <w:style w:type="character" w:customStyle="1" w:styleId="aff6">
    <w:name w:val="Основной текст_"/>
    <w:rsid w:val="00FF633C"/>
    <w:rPr>
      <w:rFonts w:ascii="Book Antiqua" w:hAnsi="Book Antiqua"/>
      <w:sz w:val="26"/>
      <w:shd w:val="clear" w:color="auto" w:fill="FFFFFF"/>
    </w:rPr>
  </w:style>
  <w:style w:type="character" w:customStyle="1" w:styleId="TrebuchetMS">
    <w:name w:val="Основной текст + Trebuchet MS"/>
    <w:uiPriority w:val="99"/>
    <w:rsid w:val="00FF633C"/>
    <w:rPr>
      <w:rFonts w:ascii="Trebuchet MS" w:hAnsi="Trebuchet MS" w:cs="Trebuchet MS"/>
      <w:i/>
      <w:color w:val="000000"/>
      <w:spacing w:val="0"/>
      <w:w w:val="100"/>
      <w:sz w:val="26"/>
      <w:szCs w:val="26"/>
      <w:shd w:val="clear" w:color="auto" w:fill="FFFFFF"/>
      <w:vertAlign w:val="baseline"/>
      <w:lang w:val="uk-UA"/>
    </w:rPr>
  </w:style>
  <w:style w:type="character" w:customStyle="1" w:styleId="aff7">
    <w:name w:val="Подпись к таблице_"/>
    <w:uiPriority w:val="99"/>
    <w:rsid w:val="00FF633C"/>
    <w:rPr>
      <w:rFonts w:ascii="Book Antiqua" w:hAnsi="Book Antiqua"/>
      <w:sz w:val="26"/>
      <w:shd w:val="clear" w:color="auto" w:fill="FFFFFF"/>
    </w:rPr>
  </w:style>
  <w:style w:type="character" w:customStyle="1" w:styleId="1b">
    <w:name w:val="Основной текст1"/>
    <w:uiPriority w:val="99"/>
    <w:rsid w:val="00FF633C"/>
    <w:rPr>
      <w:rFonts w:ascii="Book Antiqua" w:hAnsi="Book Antiqua" w:cs="Book Antiqua"/>
      <w:color w:val="000000"/>
      <w:spacing w:val="0"/>
      <w:w w:val="100"/>
      <w:sz w:val="26"/>
      <w:szCs w:val="26"/>
      <w:shd w:val="clear" w:color="auto" w:fill="FFFFFF"/>
      <w:vertAlign w:val="baseline"/>
    </w:rPr>
  </w:style>
  <w:style w:type="character" w:customStyle="1" w:styleId="12pt3">
    <w:name w:val="Основной текст + 12 pt3"/>
    <w:uiPriority w:val="99"/>
    <w:rsid w:val="00FF633C"/>
    <w:rPr>
      <w:rFonts w:ascii="Book Antiqua" w:hAnsi="Book Antiqua" w:cs="Book Antiqua"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12pt2">
    <w:name w:val="Основной текст + 12 pt2"/>
    <w:uiPriority w:val="99"/>
    <w:rsid w:val="00FF633C"/>
    <w:rPr>
      <w:rFonts w:ascii="Book Antiqua" w:hAnsi="Book Antiqua" w:cs="Book Antiqua"/>
      <w:b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12pt1">
    <w:name w:val="Основной текст + 12 pt1"/>
    <w:uiPriority w:val="99"/>
    <w:rsid w:val="00FF633C"/>
    <w:rPr>
      <w:rFonts w:ascii="Book Antiqua" w:hAnsi="Book Antiqua" w:cs="Book Antiqua"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docdata">
    <w:name w:val="docdata"/>
    <w:aliases w:val="docy,v5,2672,baiaagaaboqcaaadaqyaaav3bgaaaaaaaaaaaaaaaaaaaaaaaaaaaaaaaaaaaaaaaaaaaaaaaaaaaaaaaaaaaaaaaaaaaaaaaaaaaaaaaaaaaaaaaaaaaaaaaaaaaaaaaaaaaaaaaaaaaaaaaaaaaaaaaaaaaaaaaaaaaaaaaaaaaaaaaaaaaaaaaaaaaaaaaaaaaaaaaaaaaaaaaaaaaaaaaaaaaaaaaaaaaaaa"/>
    <w:rsid w:val="00FF633C"/>
  </w:style>
  <w:style w:type="character" w:styleId="aff8">
    <w:name w:val="line number"/>
    <w:rsid w:val="00FF633C"/>
  </w:style>
  <w:style w:type="paragraph" w:styleId="aff9">
    <w:name w:val="No Spacing"/>
    <w:link w:val="affa"/>
    <w:uiPriority w:val="1"/>
    <w:qFormat/>
    <w:rsid w:val="00FF6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uiPriority w:val="1"/>
    <w:locked/>
    <w:rsid w:val="00FF633C"/>
    <w:rPr>
      <w:rFonts w:ascii="Calibri" w:eastAsia="Times New Roman" w:hAnsi="Calibri" w:cs="Times New Roman"/>
      <w:lang w:eastAsia="ru-RU"/>
    </w:rPr>
  </w:style>
  <w:style w:type="table" w:styleId="affb">
    <w:name w:val="Table Grid"/>
    <w:basedOn w:val="a1"/>
    <w:uiPriority w:val="59"/>
    <w:rsid w:val="00FF63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Без інтервалів"/>
    <w:basedOn w:val="a"/>
    <w:uiPriority w:val="99"/>
    <w:qFormat/>
    <w:rsid w:val="00FF633C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</w:rPr>
  </w:style>
  <w:style w:type="paragraph" w:customStyle="1" w:styleId="211">
    <w:name w:val="Заголовок 21"/>
    <w:basedOn w:val="a"/>
    <w:uiPriority w:val="1"/>
    <w:qFormat/>
    <w:rsid w:val="00FF633C"/>
    <w:pPr>
      <w:widowControl w:val="0"/>
      <w:autoSpaceDE w:val="0"/>
      <w:autoSpaceDN w:val="0"/>
      <w:ind w:left="2107"/>
      <w:outlineLvl w:val="2"/>
    </w:pPr>
    <w:rPr>
      <w:b/>
      <w:bCs/>
      <w:sz w:val="28"/>
      <w:szCs w:val="28"/>
      <w:lang w:val="uk-UA" w:eastAsia="en-US"/>
    </w:rPr>
  </w:style>
  <w:style w:type="character" w:customStyle="1" w:styleId="a7">
    <w:name w:val="Абзац списка Знак"/>
    <w:link w:val="a6"/>
    <w:uiPriority w:val="34"/>
    <w:locked/>
    <w:rsid w:val="00FF633C"/>
    <w:rPr>
      <w:rFonts w:ascii="Calibri" w:eastAsia="Calibri" w:hAnsi="Calibri" w:cs="Times New Roman"/>
      <w:lang w:val="uk-UA" w:eastAsia="zh-CN"/>
    </w:rPr>
  </w:style>
  <w:style w:type="paragraph" w:customStyle="1" w:styleId="99212">
    <w:name w:val="99212"/>
    <w:aliases w:val="baiaagaaboqcaaadp3ebaawlewe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FF633C"/>
    <w:pPr>
      <w:spacing w:before="100" w:beforeAutospacing="1" w:after="100" w:afterAutospacing="1"/>
    </w:pPr>
  </w:style>
  <w:style w:type="paragraph" w:customStyle="1" w:styleId="bodytext0">
    <w:name w:val="bodytext0"/>
    <w:basedOn w:val="a"/>
    <w:autoRedefine/>
    <w:uiPriority w:val="99"/>
    <w:qFormat/>
    <w:rsid w:val="00FF633C"/>
    <w:pPr>
      <w:autoSpaceDN w:val="0"/>
      <w:spacing w:before="100" w:after="1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ne number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633C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9"/>
    <w:qFormat/>
    <w:rsid w:val="00FF63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uk-UA" w:eastAsia="zh-CN"/>
    </w:rPr>
  </w:style>
  <w:style w:type="paragraph" w:styleId="3">
    <w:name w:val="heading 3"/>
    <w:basedOn w:val="a"/>
    <w:link w:val="30"/>
    <w:uiPriority w:val="99"/>
    <w:qFormat/>
    <w:rsid w:val="00FF633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uk-UA" w:eastAsia="zh-CN"/>
    </w:rPr>
  </w:style>
  <w:style w:type="paragraph" w:styleId="4">
    <w:name w:val="heading 4"/>
    <w:basedOn w:val="a"/>
    <w:link w:val="40"/>
    <w:uiPriority w:val="99"/>
    <w:qFormat/>
    <w:rsid w:val="00FF63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F53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F5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F633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FF633C"/>
    <w:rPr>
      <w:rFonts w:ascii="Cambria" w:eastAsia="Times New Roman" w:hAnsi="Cambria" w:cs="Times New Roman"/>
      <w:b/>
      <w:bCs/>
      <w:color w:val="4F81BD"/>
      <w:sz w:val="26"/>
      <w:szCs w:val="26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rsid w:val="00FF633C"/>
    <w:rPr>
      <w:rFonts w:ascii="Cambria" w:eastAsia="Times New Roman" w:hAnsi="Cambria" w:cs="Times New Roman"/>
      <w:b/>
      <w:bCs/>
      <w:color w:val="4F81BD"/>
      <w:sz w:val="20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uiPriority w:val="99"/>
    <w:rsid w:val="00FF633C"/>
    <w:rPr>
      <w:rFonts w:ascii="Calibri" w:eastAsia="Times New Roman" w:hAnsi="Calibri" w:cs="Times New Roman"/>
      <w:b/>
      <w:bCs/>
      <w:sz w:val="28"/>
      <w:szCs w:val="28"/>
      <w:lang w:val="uk-UA" w:eastAsia="zh-CN"/>
    </w:rPr>
  </w:style>
  <w:style w:type="numbering" w:customStyle="1" w:styleId="11">
    <w:name w:val="Нет списка1"/>
    <w:next w:val="a2"/>
    <w:uiPriority w:val="99"/>
    <w:semiHidden/>
    <w:unhideWhenUsed/>
    <w:rsid w:val="00FF633C"/>
  </w:style>
  <w:style w:type="character" w:styleId="a5">
    <w:name w:val="Hyperlink"/>
    <w:uiPriority w:val="99"/>
    <w:unhideWhenUsed/>
    <w:rsid w:val="00FF633C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FF633C"/>
    <w:pPr>
      <w:ind w:left="720"/>
      <w:contextualSpacing/>
    </w:pPr>
    <w:rPr>
      <w:rFonts w:ascii="Calibri" w:eastAsia="Calibri" w:hAnsi="Calibri"/>
      <w:sz w:val="22"/>
      <w:szCs w:val="22"/>
      <w:lang w:val="uk-UA" w:eastAsia="zh-CN"/>
    </w:rPr>
  </w:style>
  <w:style w:type="paragraph" w:customStyle="1" w:styleId="12">
    <w:name w:val="1"/>
    <w:uiPriority w:val="99"/>
    <w:rsid w:val="00FF633C"/>
    <w:pPr>
      <w:spacing w:after="0"/>
      <w:jc w:val="center"/>
    </w:pPr>
    <w:rPr>
      <w:rFonts w:ascii="Times New Roman" w:eastAsia="Calibri" w:hAnsi="Times New Roman" w:cs="Times New Roman"/>
      <w:b/>
      <w:caps/>
      <w:sz w:val="28"/>
      <w:szCs w:val="20"/>
      <w:lang w:val="uk-UA" w:eastAsia="zh-CN"/>
    </w:rPr>
  </w:style>
  <w:style w:type="paragraph" w:customStyle="1" w:styleId="21">
    <w:name w:val="2"/>
    <w:uiPriority w:val="99"/>
    <w:rsid w:val="00FF633C"/>
    <w:pPr>
      <w:spacing w:after="0"/>
      <w:jc w:val="both"/>
    </w:pPr>
    <w:rPr>
      <w:rFonts w:ascii="Times New Roman" w:eastAsia="Calibri" w:hAnsi="Times New Roman" w:cs="Times New Roman"/>
      <w:b/>
      <w:i/>
      <w:sz w:val="28"/>
      <w:szCs w:val="20"/>
      <w:lang w:val="uk-UA" w:eastAsia="zh-CN"/>
    </w:rPr>
  </w:style>
  <w:style w:type="paragraph" w:customStyle="1" w:styleId="31">
    <w:name w:val="3"/>
    <w:uiPriority w:val="99"/>
    <w:rsid w:val="00FF633C"/>
    <w:pPr>
      <w:tabs>
        <w:tab w:val="left" w:pos="1036"/>
      </w:tabs>
      <w:spacing w:after="0"/>
      <w:ind w:left="709"/>
    </w:pPr>
    <w:rPr>
      <w:rFonts w:ascii="Times New Roman" w:eastAsia="Calibri" w:hAnsi="Times New Roman" w:cs="Times New Roman"/>
      <w:i/>
      <w:sz w:val="28"/>
      <w:szCs w:val="20"/>
      <w:lang w:val="uk-UA" w:eastAsia="zh-CN"/>
    </w:rPr>
  </w:style>
  <w:style w:type="paragraph" w:styleId="13">
    <w:name w:val="toc 1"/>
    <w:basedOn w:val="a"/>
    <w:uiPriority w:val="99"/>
    <w:rsid w:val="00FF633C"/>
    <w:pPr>
      <w:spacing w:before="120" w:after="120"/>
    </w:pPr>
    <w:rPr>
      <w:rFonts w:ascii="Calibri" w:eastAsia="Calibri" w:hAnsi="Calibri"/>
      <w:b/>
      <w:bCs/>
      <w:caps/>
      <w:sz w:val="20"/>
      <w:szCs w:val="20"/>
      <w:lang w:val="uk-UA" w:eastAsia="zh-CN"/>
    </w:rPr>
  </w:style>
  <w:style w:type="paragraph" w:styleId="22">
    <w:name w:val="toc 2"/>
    <w:basedOn w:val="a"/>
    <w:uiPriority w:val="99"/>
    <w:rsid w:val="00FF633C"/>
    <w:pPr>
      <w:ind w:left="220"/>
    </w:pPr>
    <w:rPr>
      <w:rFonts w:ascii="Calibri" w:eastAsia="Calibri" w:hAnsi="Calibri"/>
      <w:smallCaps/>
      <w:sz w:val="20"/>
      <w:szCs w:val="20"/>
      <w:lang w:val="uk-UA" w:eastAsia="zh-CN"/>
    </w:rPr>
  </w:style>
  <w:style w:type="paragraph" w:styleId="32">
    <w:name w:val="toc 3"/>
    <w:basedOn w:val="a"/>
    <w:uiPriority w:val="99"/>
    <w:rsid w:val="00FF633C"/>
    <w:pPr>
      <w:ind w:left="440"/>
    </w:pPr>
    <w:rPr>
      <w:rFonts w:ascii="Calibri" w:eastAsia="Calibri" w:hAnsi="Calibri"/>
      <w:i/>
      <w:iCs/>
      <w:sz w:val="20"/>
      <w:szCs w:val="20"/>
      <w:lang w:val="uk-UA" w:eastAsia="zh-CN"/>
    </w:rPr>
  </w:style>
  <w:style w:type="paragraph" w:styleId="41">
    <w:name w:val="toc 4"/>
    <w:basedOn w:val="a"/>
    <w:uiPriority w:val="99"/>
    <w:rsid w:val="00FF633C"/>
    <w:pPr>
      <w:ind w:left="660"/>
    </w:pPr>
    <w:rPr>
      <w:rFonts w:ascii="Calibri" w:eastAsia="Calibri" w:hAnsi="Calibri"/>
      <w:sz w:val="18"/>
      <w:szCs w:val="18"/>
      <w:lang w:val="uk-UA" w:eastAsia="zh-CN"/>
    </w:rPr>
  </w:style>
  <w:style w:type="paragraph" w:styleId="5">
    <w:name w:val="toc 5"/>
    <w:basedOn w:val="a"/>
    <w:uiPriority w:val="99"/>
    <w:rsid w:val="00FF633C"/>
    <w:pPr>
      <w:ind w:left="880"/>
    </w:pPr>
    <w:rPr>
      <w:rFonts w:ascii="Calibri" w:eastAsia="Calibri" w:hAnsi="Calibri"/>
      <w:sz w:val="18"/>
      <w:szCs w:val="18"/>
      <w:lang w:val="uk-UA" w:eastAsia="zh-CN"/>
    </w:rPr>
  </w:style>
  <w:style w:type="paragraph" w:styleId="6">
    <w:name w:val="toc 6"/>
    <w:basedOn w:val="a"/>
    <w:uiPriority w:val="99"/>
    <w:rsid w:val="00FF633C"/>
    <w:pPr>
      <w:ind w:left="1100"/>
    </w:pPr>
    <w:rPr>
      <w:rFonts w:ascii="Calibri" w:eastAsia="Calibri" w:hAnsi="Calibri"/>
      <w:sz w:val="18"/>
      <w:szCs w:val="18"/>
      <w:lang w:val="uk-UA" w:eastAsia="zh-CN"/>
    </w:rPr>
  </w:style>
  <w:style w:type="paragraph" w:styleId="7">
    <w:name w:val="toc 7"/>
    <w:basedOn w:val="a"/>
    <w:uiPriority w:val="99"/>
    <w:rsid w:val="00FF633C"/>
    <w:pPr>
      <w:ind w:left="1320"/>
    </w:pPr>
    <w:rPr>
      <w:rFonts w:ascii="Calibri" w:eastAsia="Calibri" w:hAnsi="Calibri"/>
      <w:sz w:val="18"/>
      <w:szCs w:val="18"/>
      <w:lang w:val="uk-UA" w:eastAsia="zh-CN"/>
    </w:rPr>
  </w:style>
  <w:style w:type="paragraph" w:styleId="8">
    <w:name w:val="toc 8"/>
    <w:basedOn w:val="a"/>
    <w:uiPriority w:val="99"/>
    <w:rsid w:val="00FF633C"/>
    <w:pPr>
      <w:ind w:left="1540"/>
    </w:pPr>
    <w:rPr>
      <w:rFonts w:ascii="Calibri" w:eastAsia="Calibri" w:hAnsi="Calibri"/>
      <w:sz w:val="18"/>
      <w:szCs w:val="18"/>
      <w:lang w:val="uk-UA" w:eastAsia="zh-CN"/>
    </w:rPr>
  </w:style>
  <w:style w:type="paragraph" w:styleId="9">
    <w:name w:val="toc 9"/>
    <w:basedOn w:val="a"/>
    <w:uiPriority w:val="99"/>
    <w:rsid w:val="00FF633C"/>
    <w:pPr>
      <w:ind w:left="1760"/>
    </w:pPr>
    <w:rPr>
      <w:rFonts w:ascii="Calibri" w:eastAsia="Calibri" w:hAnsi="Calibri"/>
      <w:sz w:val="18"/>
      <w:szCs w:val="18"/>
      <w:lang w:val="uk-UA" w:eastAsia="zh-CN"/>
    </w:rPr>
  </w:style>
  <w:style w:type="paragraph" w:customStyle="1" w:styleId="a8">
    <w:name w:val="Знак"/>
    <w:uiPriority w:val="99"/>
    <w:rsid w:val="00FF63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9">
    <w:name w:val="Знак Знак Знак Знак"/>
    <w:uiPriority w:val="99"/>
    <w:rsid w:val="00FF633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zh-CN"/>
    </w:rPr>
  </w:style>
  <w:style w:type="paragraph" w:styleId="aa">
    <w:name w:val="Normal (Web)"/>
    <w:aliases w:val="Обычный (Web)"/>
    <w:basedOn w:val="a"/>
    <w:uiPriority w:val="34"/>
    <w:qFormat/>
    <w:rsid w:val="00FF633C"/>
    <w:pPr>
      <w:spacing w:before="100" w:beforeAutospacing="1" w:after="100" w:afterAutospacing="1"/>
    </w:pPr>
    <w:rPr>
      <w:lang w:val="uk-UA" w:eastAsia="zh-CN"/>
    </w:rPr>
  </w:style>
  <w:style w:type="paragraph" w:styleId="ab">
    <w:name w:val="Body Text Indent"/>
    <w:basedOn w:val="a"/>
    <w:link w:val="ac"/>
    <w:uiPriority w:val="99"/>
    <w:rsid w:val="00FF633C"/>
    <w:pPr>
      <w:spacing w:after="120"/>
      <w:ind w:left="283" w:firstLine="709"/>
    </w:pPr>
    <w:rPr>
      <w:rFonts w:ascii="Calibri" w:eastAsia="Calibri" w:hAnsi="Calibri"/>
      <w:sz w:val="20"/>
      <w:szCs w:val="20"/>
      <w:lang w:val="uk-UA" w:eastAsia="zh-CN"/>
    </w:rPr>
  </w:style>
  <w:style w:type="character" w:customStyle="1" w:styleId="ac">
    <w:name w:val="Основной текст с отступом Знак"/>
    <w:basedOn w:val="a0"/>
    <w:link w:val="ab"/>
    <w:uiPriority w:val="99"/>
    <w:rsid w:val="00FF633C"/>
    <w:rPr>
      <w:rFonts w:ascii="Calibri" w:eastAsia="Calibri" w:hAnsi="Calibri" w:cs="Times New Roman"/>
      <w:sz w:val="20"/>
      <w:szCs w:val="20"/>
      <w:lang w:val="uk-UA" w:eastAsia="zh-CN"/>
    </w:rPr>
  </w:style>
  <w:style w:type="paragraph" w:styleId="ad">
    <w:name w:val="Title"/>
    <w:basedOn w:val="a"/>
    <w:link w:val="ae"/>
    <w:uiPriority w:val="99"/>
    <w:qFormat/>
    <w:rsid w:val="00FF633C"/>
    <w:pPr>
      <w:jc w:val="center"/>
    </w:pPr>
    <w:rPr>
      <w:b/>
      <w:sz w:val="28"/>
      <w:szCs w:val="20"/>
      <w:lang w:val="uk-UA" w:eastAsia="zh-CN"/>
    </w:rPr>
  </w:style>
  <w:style w:type="character" w:customStyle="1" w:styleId="ae">
    <w:name w:val="Название Знак"/>
    <w:basedOn w:val="a0"/>
    <w:link w:val="ad"/>
    <w:uiPriority w:val="99"/>
    <w:rsid w:val="00FF633C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paragraph" w:styleId="23">
    <w:name w:val="Body Text Indent 2"/>
    <w:basedOn w:val="a"/>
    <w:link w:val="24"/>
    <w:uiPriority w:val="99"/>
    <w:rsid w:val="00FF633C"/>
    <w:pPr>
      <w:spacing w:after="120" w:line="480" w:lineRule="auto"/>
      <w:ind w:left="283"/>
    </w:pPr>
    <w:rPr>
      <w:lang w:val="x-none" w:eastAsia="zh-C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F633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bt1">
    <w:name w:val="Основной текст.Текст1.bt1"/>
    <w:uiPriority w:val="99"/>
    <w:rsid w:val="00FF63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f">
    <w:name w:val="Body Text"/>
    <w:aliases w:val="Знак Знак Знак Знак Знак Знак"/>
    <w:basedOn w:val="a"/>
    <w:link w:val="af0"/>
    <w:uiPriority w:val="99"/>
    <w:qFormat/>
    <w:rsid w:val="00FF633C"/>
    <w:pPr>
      <w:spacing w:after="120"/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0">
    <w:name w:val="Основной текст Знак"/>
    <w:aliases w:val="Знак Знак Знак Знак Знак Знак Знак"/>
    <w:basedOn w:val="a0"/>
    <w:link w:val="af"/>
    <w:uiPriority w:val="99"/>
    <w:rsid w:val="00FF633C"/>
    <w:rPr>
      <w:rFonts w:ascii="Calibri" w:eastAsia="Calibri" w:hAnsi="Calibri" w:cs="Times New Roman"/>
      <w:lang w:val="uk-UA" w:eastAsia="zh-CN"/>
    </w:rPr>
  </w:style>
  <w:style w:type="paragraph" w:customStyle="1" w:styleId="130">
    <w:name w:val="1 3 пункт"/>
    <w:basedOn w:val="32"/>
    <w:uiPriority w:val="99"/>
    <w:rsid w:val="00FF633C"/>
  </w:style>
  <w:style w:type="paragraph" w:customStyle="1" w:styleId="af1">
    <w:name w:val="Нормальний текст"/>
    <w:uiPriority w:val="99"/>
    <w:rsid w:val="00FF633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zh-CN"/>
    </w:rPr>
  </w:style>
  <w:style w:type="paragraph" w:customStyle="1" w:styleId="14">
    <w:name w:val="Обычный1"/>
    <w:uiPriority w:val="99"/>
    <w:rsid w:val="00FF633C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15">
    <w:name w:val="Абзац списка1"/>
    <w:uiPriority w:val="99"/>
    <w:rsid w:val="00FF633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HTML">
    <w:name w:val="HTML Preformatted"/>
    <w:basedOn w:val="a"/>
    <w:link w:val="HTML0"/>
    <w:uiPriority w:val="99"/>
    <w:rsid w:val="00FF6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uk-UA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FF633C"/>
    <w:rPr>
      <w:rFonts w:ascii="Courier New" w:eastAsia="Calibri" w:hAnsi="Courier New" w:cs="Times New Roman"/>
      <w:sz w:val="24"/>
      <w:szCs w:val="24"/>
      <w:lang w:val="uk-UA" w:eastAsia="zh-CN"/>
    </w:rPr>
  </w:style>
  <w:style w:type="paragraph" w:customStyle="1" w:styleId="131">
    <w:name w:val="13"/>
    <w:uiPriority w:val="99"/>
    <w:rsid w:val="00FF633C"/>
    <w:pPr>
      <w:spacing w:after="0" w:line="240" w:lineRule="auto"/>
    </w:pPr>
    <w:rPr>
      <w:rFonts w:ascii="Times New Roman" w:eastAsia="SimSun" w:hAnsi="Times New Roman" w:cs="Times New Roman"/>
      <w:b/>
      <w:kern w:val="1"/>
      <w:sz w:val="27"/>
      <w:szCs w:val="20"/>
      <w:lang w:val="en-US" w:eastAsia="zh-CN"/>
    </w:rPr>
  </w:style>
  <w:style w:type="paragraph" w:customStyle="1" w:styleId="rvps2">
    <w:name w:val="rvps2"/>
    <w:uiPriority w:val="99"/>
    <w:rsid w:val="00FF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3">
    <w:name w:val="Style3"/>
    <w:uiPriority w:val="99"/>
    <w:rsid w:val="00FF633C"/>
    <w:pPr>
      <w:widowControl w:val="0"/>
      <w:spacing w:after="0" w:line="413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210">
    <w:name w:val="Основной текст с отступом 21"/>
    <w:uiPriority w:val="99"/>
    <w:rsid w:val="00FF633C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0">
    <w:name w:val="11"/>
    <w:basedOn w:val="15"/>
    <w:uiPriority w:val="99"/>
    <w:rsid w:val="00FF633C"/>
  </w:style>
  <w:style w:type="paragraph" w:customStyle="1" w:styleId="220">
    <w:name w:val="22"/>
    <w:basedOn w:val="23"/>
    <w:uiPriority w:val="99"/>
    <w:rsid w:val="00FF633C"/>
    <w:pPr>
      <w:shd w:val="solid" w:color="B8CCE4" w:fill="auto"/>
    </w:pPr>
  </w:style>
  <w:style w:type="paragraph" w:styleId="af2">
    <w:name w:val="header"/>
    <w:basedOn w:val="a"/>
    <w:link w:val="af3"/>
    <w:uiPriority w:val="99"/>
    <w:rsid w:val="00FF633C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FF633C"/>
    <w:rPr>
      <w:rFonts w:ascii="Calibri" w:eastAsia="Calibri" w:hAnsi="Calibri" w:cs="Times New Roman"/>
      <w:lang w:val="uk-UA" w:eastAsia="zh-CN"/>
    </w:rPr>
  </w:style>
  <w:style w:type="paragraph" w:styleId="af4">
    <w:name w:val="footer"/>
    <w:basedOn w:val="a"/>
    <w:link w:val="af5"/>
    <w:uiPriority w:val="99"/>
    <w:rsid w:val="00FF633C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uk-UA"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FF633C"/>
    <w:rPr>
      <w:rFonts w:ascii="Calibri" w:eastAsia="Calibri" w:hAnsi="Calibri" w:cs="Times New Roman"/>
      <w:lang w:val="uk-UA" w:eastAsia="zh-CN"/>
    </w:rPr>
  </w:style>
  <w:style w:type="paragraph" w:customStyle="1" w:styleId="af6">
    <w:name w:val="Знак Знак"/>
    <w:uiPriority w:val="99"/>
    <w:rsid w:val="00FF63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6">
    <w:name w:val="Обычный 1"/>
    <w:uiPriority w:val="99"/>
    <w:rsid w:val="00FF633C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val="uk-UA" w:eastAsia="zh-CN"/>
    </w:rPr>
  </w:style>
  <w:style w:type="paragraph" w:customStyle="1" w:styleId="af7">
    <w:name w:val="Знак Знак Знак Знак Знак Знак Знак Знак Знак Знак Знак Знак Знак Знак Знак Знак Знак"/>
    <w:uiPriority w:val="99"/>
    <w:rsid w:val="00FF63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utitle">
    <w:name w:val="utitle"/>
    <w:uiPriority w:val="99"/>
    <w:rsid w:val="00FF633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qFormat/>
    <w:rsid w:val="00FF633C"/>
    <w:pPr>
      <w:suppressAutoHyphens/>
      <w:spacing w:after="0" w:line="240" w:lineRule="auto"/>
    </w:pPr>
    <w:rPr>
      <w:rFonts w:ascii="Calibri" w:eastAsia="Times New Roman" w:hAnsi="Calibri" w:cs="Times New Roman"/>
      <w:lang w:val="uk-UA" w:eastAsia="zh-CN"/>
    </w:rPr>
  </w:style>
  <w:style w:type="paragraph" w:styleId="af8">
    <w:name w:val="Document Map"/>
    <w:basedOn w:val="a"/>
    <w:link w:val="af9"/>
    <w:uiPriority w:val="99"/>
    <w:rsid w:val="00FF633C"/>
    <w:rPr>
      <w:rFonts w:ascii="Tahoma" w:eastAsia="Calibri" w:hAnsi="Tahoma"/>
      <w:sz w:val="16"/>
      <w:szCs w:val="16"/>
      <w:lang w:val="uk-UA" w:eastAsia="zh-CN"/>
    </w:rPr>
  </w:style>
  <w:style w:type="character" w:customStyle="1" w:styleId="af9">
    <w:name w:val="Схема документа Знак"/>
    <w:basedOn w:val="a0"/>
    <w:link w:val="af8"/>
    <w:uiPriority w:val="99"/>
    <w:rsid w:val="00FF633C"/>
    <w:rPr>
      <w:rFonts w:ascii="Tahoma" w:eastAsia="Calibri" w:hAnsi="Tahoma" w:cs="Times New Roman"/>
      <w:sz w:val="16"/>
      <w:szCs w:val="16"/>
      <w:lang w:val="uk-UA" w:eastAsia="zh-CN"/>
    </w:rPr>
  </w:style>
  <w:style w:type="paragraph" w:customStyle="1" w:styleId="25">
    <w:name w:val="Без интервала2"/>
    <w:uiPriority w:val="99"/>
    <w:rsid w:val="00FF633C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fa">
    <w:name w:val="caption"/>
    <w:basedOn w:val="a"/>
    <w:uiPriority w:val="99"/>
    <w:qFormat/>
    <w:rsid w:val="00FF633C"/>
    <w:rPr>
      <w:rFonts w:ascii="Calibri" w:eastAsia="Calibri" w:hAnsi="Calibri"/>
      <w:b/>
      <w:bCs/>
      <w:sz w:val="20"/>
      <w:szCs w:val="20"/>
      <w:lang w:val="uk-UA" w:eastAsia="zh-CN"/>
    </w:rPr>
  </w:style>
  <w:style w:type="paragraph" w:customStyle="1" w:styleId="20133">
    <w:name w:val="2013 3"/>
    <w:basedOn w:val="32"/>
    <w:uiPriority w:val="99"/>
    <w:rsid w:val="00FF633C"/>
    <w:pPr>
      <w:tabs>
        <w:tab w:val="right" w:leader="dot" w:pos="9923"/>
      </w:tabs>
      <w:suppressAutoHyphens/>
      <w:ind w:left="0"/>
      <w:jc w:val="center"/>
    </w:pPr>
    <w:rPr>
      <w:b/>
      <w:i w:val="0"/>
      <w:iCs w:val="0"/>
      <w:sz w:val="28"/>
    </w:rPr>
  </w:style>
  <w:style w:type="paragraph" w:customStyle="1" w:styleId="afb">
    <w:name w:val="Знак Знак Знак Знак Знак Знак Знак Знак Знак Знак Знак Знак Знак Знак Знак Знак"/>
    <w:uiPriority w:val="99"/>
    <w:rsid w:val="00FF633C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afc">
    <w:name w:val="Знак Знак Знак Знак Знак Знак Знак Знак"/>
    <w:uiPriority w:val="99"/>
    <w:rsid w:val="00FF633C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33">
    <w:name w:val="Без интервала3"/>
    <w:uiPriority w:val="99"/>
    <w:rsid w:val="00FF633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120">
    <w:name w:val="Без интервала12"/>
    <w:uiPriority w:val="99"/>
    <w:rsid w:val="00FF633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Standard">
    <w:name w:val="Standard"/>
    <w:uiPriority w:val="99"/>
    <w:qFormat/>
    <w:rsid w:val="00FF633C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FF633C"/>
    <w:pPr>
      <w:spacing w:after="120"/>
    </w:pPr>
  </w:style>
  <w:style w:type="paragraph" w:customStyle="1" w:styleId="330">
    <w:name w:val="33"/>
    <w:uiPriority w:val="99"/>
    <w:rsid w:val="00FF633C"/>
    <w:pPr>
      <w:suppressAutoHyphens/>
      <w:spacing w:after="0" w:line="240" w:lineRule="auto"/>
      <w:ind w:left="1980" w:hanging="720"/>
    </w:pPr>
    <w:rPr>
      <w:rFonts w:ascii="Times New Roman" w:eastAsia="Times New Roman" w:hAnsi="Times New Roman" w:cs="Times New Roman"/>
      <w:i/>
      <w:sz w:val="28"/>
      <w:szCs w:val="28"/>
      <w:lang w:val="uk-UA" w:eastAsia="zh-CN"/>
    </w:rPr>
  </w:style>
  <w:style w:type="paragraph" w:customStyle="1" w:styleId="Default">
    <w:name w:val="Default"/>
    <w:uiPriority w:val="99"/>
    <w:rsid w:val="00FF63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6">
    <w:name w:val="Абзац списка2"/>
    <w:uiPriority w:val="99"/>
    <w:rsid w:val="00FF633C"/>
    <w:pPr>
      <w:widowControl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shorttext">
    <w:name w:val="shorttext"/>
    <w:uiPriority w:val="99"/>
    <w:rsid w:val="00FF633C"/>
    <w:pPr>
      <w:shd w:val="solid" w:color="ECECEC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Block Text"/>
    <w:basedOn w:val="a"/>
    <w:uiPriority w:val="99"/>
    <w:rsid w:val="00FF633C"/>
    <w:pPr>
      <w:widowControl w:val="0"/>
      <w:spacing w:after="300" w:line="259" w:lineRule="auto"/>
      <w:ind w:left="40" w:right="600" w:firstLine="1440"/>
      <w:jc w:val="both"/>
    </w:pPr>
    <w:rPr>
      <w:b/>
      <w:sz w:val="28"/>
      <w:szCs w:val="20"/>
      <w:lang w:val="uk-UA" w:eastAsia="zh-CN"/>
    </w:rPr>
  </w:style>
  <w:style w:type="paragraph" w:customStyle="1" w:styleId="afe">
    <w:name w:val="Документ"/>
    <w:uiPriority w:val="99"/>
    <w:rsid w:val="00FF633C"/>
    <w:pPr>
      <w:spacing w:after="0" w:line="240" w:lineRule="auto"/>
      <w:ind w:firstLine="851"/>
      <w:jc w:val="both"/>
    </w:pPr>
    <w:rPr>
      <w:rFonts w:ascii="Times New Roman CYR" w:eastAsia="Calibri" w:hAnsi="Times New Roman CYR" w:cs="Times New Roman"/>
      <w:sz w:val="20"/>
      <w:szCs w:val="20"/>
      <w:lang w:val="uk-UA" w:eastAsia="zh-CN"/>
    </w:rPr>
  </w:style>
  <w:style w:type="paragraph" w:styleId="34">
    <w:name w:val="Body Text 3"/>
    <w:basedOn w:val="a"/>
    <w:link w:val="35"/>
    <w:uiPriority w:val="99"/>
    <w:rsid w:val="00FF633C"/>
    <w:pPr>
      <w:spacing w:after="120"/>
    </w:pPr>
    <w:rPr>
      <w:sz w:val="16"/>
      <w:szCs w:val="16"/>
      <w:lang w:val="x-none" w:eastAsia="zh-CN"/>
    </w:rPr>
  </w:style>
  <w:style w:type="character" w:customStyle="1" w:styleId="35">
    <w:name w:val="Основной текст 3 Знак"/>
    <w:basedOn w:val="a0"/>
    <w:link w:val="34"/>
    <w:uiPriority w:val="99"/>
    <w:rsid w:val="00FF633C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121">
    <w:name w:val="Знак Знак12"/>
    <w:uiPriority w:val="99"/>
    <w:rsid w:val="00FF63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8">
    <w:name w:val="Знак Знак Знак Знак Знак Знак Знак Знак Знак Знак Знак Знак Знак Знак Знак Знак1"/>
    <w:uiPriority w:val="99"/>
    <w:rsid w:val="00FF633C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19">
    <w:name w:val="Знак Знак Знак Знак Знак Знак Знак Знак1"/>
    <w:uiPriority w:val="99"/>
    <w:rsid w:val="00FF633C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 w:eastAsia="zh-CN"/>
    </w:rPr>
  </w:style>
  <w:style w:type="paragraph" w:customStyle="1" w:styleId="111">
    <w:name w:val="Без интервала11"/>
    <w:uiPriority w:val="99"/>
    <w:rsid w:val="00FF63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f">
    <w:name w:val="List"/>
    <w:basedOn w:val="a"/>
    <w:uiPriority w:val="99"/>
    <w:rsid w:val="00FF633C"/>
    <w:pPr>
      <w:suppressAutoHyphens/>
    </w:pPr>
    <w:rPr>
      <w:szCs w:val="20"/>
      <w:lang w:val="uk-UA" w:eastAsia="zh-CN"/>
    </w:rPr>
  </w:style>
  <w:style w:type="paragraph" w:customStyle="1" w:styleId="msonormalcxspmiddle">
    <w:name w:val="msonormalcxspmiddle"/>
    <w:uiPriority w:val="99"/>
    <w:rsid w:val="00FF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z-toc-title">
    <w:name w:val="ez-toc-title"/>
    <w:uiPriority w:val="99"/>
    <w:rsid w:val="00FF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2">
    <w:name w:val="Обычный11"/>
    <w:uiPriority w:val="99"/>
    <w:rsid w:val="00FF633C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customStyle="1" w:styleId="27">
    <w:name w:val="Основной текст (2)"/>
    <w:uiPriority w:val="99"/>
    <w:rsid w:val="00FF633C"/>
    <w:pPr>
      <w:widowControl w:val="0"/>
      <w:shd w:val="solid" w:color="FFFFFF" w:fill="auto"/>
      <w:spacing w:after="0" w:line="336" w:lineRule="exact"/>
      <w:jc w:val="center"/>
    </w:pPr>
    <w:rPr>
      <w:rFonts w:ascii="Book Antiqua" w:eastAsia="Calibri" w:hAnsi="Book Antiqua" w:cs="Book Antiqua"/>
      <w:b/>
      <w:bCs/>
      <w:sz w:val="26"/>
      <w:szCs w:val="26"/>
      <w:lang w:eastAsia="zh-CN"/>
    </w:rPr>
  </w:style>
  <w:style w:type="paragraph" w:customStyle="1" w:styleId="28">
    <w:name w:val="Основной текст2"/>
    <w:uiPriority w:val="99"/>
    <w:rsid w:val="00FF633C"/>
    <w:pPr>
      <w:widowControl w:val="0"/>
      <w:shd w:val="solid" w:color="FFFFFF" w:fill="auto"/>
      <w:spacing w:before="300" w:after="0" w:line="346" w:lineRule="exact"/>
      <w:jc w:val="both"/>
    </w:pPr>
    <w:rPr>
      <w:rFonts w:ascii="Book Antiqua" w:eastAsia="Calibri" w:hAnsi="Book Antiqua" w:cs="Book Antiqua"/>
      <w:sz w:val="26"/>
      <w:szCs w:val="26"/>
      <w:lang w:eastAsia="zh-CN"/>
    </w:rPr>
  </w:style>
  <w:style w:type="paragraph" w:customStyle="1" w:styleId="aff0">
    <w:name w:val="Подпись к таблице"/>
    <w:uiPriority w:val="99"/>
    <w:rsid w:val="00FF633C"/>
    <w:pPr>
      <w:widowControl w:val="0"/>
      <w:shd w:val="solid" w:color="FFFFFF" w:fill="auto"/>
      <w:spacing w:after="0" w:line="240" w:lineRule="atLeast"/>
    </w:pPr>
    <w:rPr>
      <w:rFonts w:ascii="Book Antiqua" w:eastAsia="Calibri" w:hAnsi="Book Antiqua" w:cs="Book Antiqua"/>
      <w:sz w:val="26"/>
      <w:szCs w:val="26"/>
      <w:lang w:eastAsia="zh-CN"/>
    </w:rPr>
  </w:style>
  <w:style w:type="character" w:customStyle="1" w:styleId="1a">
    <w:name w:val="1 Знак"/>
    <w:uiPriority w:val="99"/>
    <w:rsid w:val="00FF633C"/>
    <w:rPr>
      <w:rFonts w:ascii="Times New Roman" w:hAnsi="Times New Roman"/>
      <w:b/>
      <w:caps/>
      <w:sz w:val="28"/>
      <w:lang w:val="uk-UA"/>
    </w:rPr>
  </w:style>
  <w:style w:type="character" w:customStyle="1" w:styleId="29">
    <w:name w:val="2 Знак"/>
    <w:uiPriority w:val="99"/>
    <w:rsid w:val="00FF633C"/>
    <w:rPr>
      <w:rFonts w:ascii="Times New Roman" w:hAnsi="Times New Roman"/>
      <w:b/>
      <w:i/>
      <w:sz w:val="28"/>
      <w:lang w:val="uk-UA"/>
    </w:rPr>
  </w:style>
  <w:style w:type="character" w:customStyle="1" w:styleId="36">
    <w:name w:val="3 Знак"/>
    <w:uiPriority w:val="99"/>
    <w:rsid w:val="00FF633C"/>
    <w:rPr>
      <w:rFonts w:ascii="Times New Roman" w:hAnsi="Times New Roman"/>
      <w:i/>
      <w:sz w:val="28"/>
      <w:lang w:val="uk-UA"/>
    </w:rPr>
  </w:style>
  <w:style w:type="character" w:customStyle="1" w:styleId="rvts9">
    <w:name w:val="rvts9"/>
    <w:uiPriority w:val="99"/>
    <w:rsid w:val="00FF633C"/>
  </w:style>
  <w:style w:type="character" w:customStyle="1" w:styleId="apple-converted-space">
    <w:name w:val="apple-converted-space"/>
    <w:uiPriority w:val="99"/>
    <w:rsid w:val="00FF633C"/>
  </w:style>
  <w:style w:type="character" w:customStyle="1" w:styleId="132">
    <w:name w:val="13 Знак"/>
    <w:uiPriority w:val="99"/>
    <w:rsid w:val="00FF633C"/>
    <w:rPr>
      <w:rFonts w:ascii="Times New Roman" w:eastAsia="SimSun" w:hAnsi="Times New Roman"/>
      <w:b/>
      <w:kern w:val="1"/>
      <w:sz w:val="27"/>
    </w:rPr>
  </w:style>
  <w:style w:type="character" w:customStyle="1" w:styleId="113">
    <w:name w:val="11 Знак"/>
    <w:uiPriority w:val="99"/>
    <w:rsid w:val="00FF633C"/>
    <w:rPr>
      <w:rFonts w:ascii="Times New Roman" w:hAnsi="Times New Roman"/>
      <w:b/>
      <w:caps/>
      <w:sz w:val="28"/>
      <w:lang w:val="uk-UA"/>
    </w:rPr>
  </w:style>
  <w:style w:type="character" w:customStyle="1" w:styleId="221">
    <w:name w:val="22 Знак"/>
    <w:uiPriority w:val="99"/>
    <w:rsid w:val="00FF633C"/>
    <w:rPr>
      <w:rFonts w:ascii="Times New Roman" w:hAnsi="Times New Roman"/>
      <w:b/>
      <w:i/>
      <w:sz w:val="28"/>
      <w:shd w:val="clear" w:color="auto" w:fill="B8CCE4"/>
      <w:lang w:val="uk-UA"/>
    </w:rPr>
  </w:style>
  <w:style w:type="character" w:styleId="aff1">
    <w:name w:val="page number"/>
    <w:uiPriority w:val="99"/>
    <w:rsid w:val="00FF633C"/>
    <w:rPr>
      <w:rFonts w:cs="Times New Roman"/>
    </w:rPr>
  </w:style>
  <w:style w:type="character" w:customStyle="1" w:styleId="NoSpacingChar">
    <w:name w:val="No Spacing Char"/>
    <w:uiPriority w:val="99"/>
    <w:rsid w:val="00FF633C"/>
    <w:rPr>
      <w:rFonts w:eastAsia="Times New Roman"/>
      <w:sz w:val="22"/>
      <w:lang w:val="uk-UA"/>
    </w:rPr>
  </w:style>
  <w:style w:type="character" w:styleId="aff2">
    <w:name w:val="Subtle Emphasis"/>
    <w:uiPriority w:val="99"/>
    <w:qFormat/>
    <w:rsid w:val="00FF633C"/>
    <w:rPr>
      <w:i/>
      <w:color w:val="808080"/>
    </w:rPr>
  </w:style>
  <w:style w:type="character" w:styleId="aff3">
    <w:name w:val="Strong"/>
    <w:uiPriority w:val="99"/>
    <w:qFormat/>
    <w:rsid w:val="00FF633C"/>
    <w:rPr>
      <w:rFonts w:cs="Times New Roman"/>
      <w:b/>
    </w:rPr>
  </w:style>
  <w:style w:type="character" w:customStyle="1" w:styleId="textexposedshow">
    <w:name w:val="text_exposed_show"/>
    <w:uiPriority w:val="99"/>
    <w:rsid w:val="00FF633C"/>
  </w:style>
  <w:style w:type="character" w:customStyle="1" w:styleId="201330">
    <w:name w:val="2013 3 Знак"/>
    <w:uiPriority w:val="99"/>
    <w:rsid w:val="00FF633C"/>
    <w:rPr>
      <w:b/>
      <w:sz w:val="28"/>
      <w:lang w:val="uk-UA"/>
    </w:rPr>
  </w:style>
  <w:style w:type="character" w:customStyle="1" w:styleId="aff4">
    <w:name w:val="Документ Знак"/>
    <w:uiPriority w:val="99"/>
    <w:rsid w:val="00FF633C"/>
    <w:rPr>
      <w:rFonts w:ascii="Times New Roman CYR" w:hAnsi="Times New Roman CYR"/>
      <w:sz w:val="20"/>
      <w:lang w:val="uk-UA"/>
    </w:rPr>
  </w:style>
  <w:style w:type="character" w:styleId="aff5">
    <w:name w:val="FollowedHyperlink"/>
    <w:uiPriority w:val="99"/>
    <w:rsid w:val="00FF633C"/>
    <w:rPr>
      <w:rFonts w:cs="Times New Roman"/>
      <w:color w:val="800080"/>
      <w:u w:val="single"/>
    </w:rPr>
  </w:style>
  <w:style w:type="character" w:customStyle="1" w:styleId="posted-on">
    <w:name w:val="posted-on"/>
    <w:uiPriority w:val="99"/>
    <w:rsid w:val="00FF633C"/>
  </w:style>
  <w:style w:type="character" w:customStyle="1" w:styleId="authorvcard">
    <w:name w:val="author vcard"/>
    <w:uiPriority w:val="99"/>
    <w:rsid w:val="00FF633C"/>
  </w:style>
  <w:style w:type="character" w:customStyle="1" w:styleId="comments">
    <w:name w:val="comments"/>
    <w:uiPriority w:val="99"/>
    <w:rsid w:val="00FF633C"/>
  </w:style>
  <w:style w:type="character" w:customStyle="1" w:styleId="ez-toc-section">
    <w:name w:val="ez-toc-section"/>
    <w:uiPriority w:val="99"/>
    <w:rsid w:val="00FF633C"/>
  </w:style>
  <w:style w:type="character" w:customStyle="1" w:styleId="50">
    <w:name w:val="Знак Знак5"/>
    <w:uiPriority w:val="99"/>
    <w:rsid w:val="00FF633C"/>
    <w:rPr>
      <w:rFonts w:ascii="Times New Roman" w:hAnsi="Times New Roman"/>
      <w:sz w:val="24"/>
      <w:lang w:val="ru-RU"/>
    </w:rPr>
  </w:style>
  <w:style w:type="character" w:customStyle="1" w:styleId="2a">
    <w:name w:val="Основной текст (2)_"/>
    <w:uiPriority w:val="99"/>
    <w:rsid w:val="00FF633C"/>
    <w:rPr>
      <w:rFonts w:ascii="Book Antiqua" w:hAnsi="Book Antiqua"/>
      <w:b/>
      <w:sz w:val="26"/>
      <w:shd w:val="clear" w:color="auto" w:fill="FFFFFF"/>
    </w:rPr>
  </w:style>
  <w:style w:type="character" w:customStyle="1" w:styleId="aff6">
    <w:name w:val="Основной текст_"/>
    <w:rsid w:val="00FF633C"/>
    <w:rPr>
      <w:rFonts w:ascii="Book Antiqua" w:hAnsi="Book Antiqua"/>
      <w:sz w:val="26"/>
      <w:shd w:val="clear" w:color="auto" w:fill="FFFFFF"/>
    </w:rPr>
  </w:style>
  <w:style w:type="character" w:customStyle="1" w:styleId="TrebuchetMS">
    <w:name w:val="Основной текст + Trebuchet MS"/>
    <w:uiPriority w:val="99"/>
    <w:rsid w:val="00FF633C"/>
    <w:rPr>
      <w:rFonts w:ascii="Trebuchet MS" w:hAnsi="Trebuchet MS" w:cs="Trebuchet MS"/>
      <w:i/>
      <w:color w:val="000000"/>
      <w:spacing w:val="0"/>
      <w:w w:val="100"/>
      <w:sz w:val="26"/>
      <w:szCs w:val="26"/>
      <w:shd w:val="clear" w:color="auto" w:fill="FFFFFF"/>
      <w:vertAlign w:val="baseline"/>
      <w:lang w:val="uk-UA"/>
    </w:rPr>
  </w:style>
  <w:style w:type="character" w:customStyle="1" w:styleId="aff7">
    <w:name w:val="Подпись к таблице_"/>
    <w:uiPriority w:val="99"/>
    <w:rsid w:val="00FF633C"/>
    <w:rPr>
      <w:rFonts w:ascii="Book Antiqua" w:hAnsi="Book Antiqua"/>
      <w:sz w:val="26"/>
      <w:shd w:val="clear" w:color="auto" w:fill="FFFFFF"/>
    </w:rPr>
  </w:style>
  <w:style w:type="character" w:customStyle="1" w:styleId="1b">
    <w:name w:val="Основной текст1"/>
    <w:uiPriority w:val="99"/>
    <w:rsid w:val="00FF633C"/>
    <w:rPr>
      <w:rFonts w:ascii="Book Antiqua" w:hAnsi="Book Antiqua" w:cs="Book Antiqua"/>
      <w:color w:val="000000"/>
      <w:spacing w:val="0"/>
      <w:w w:val="100"/>
      <w:sz w:val="26"/>
      <w:szCs w:val="26"/>
      <w:shd w:val="clear" w:color="auto" w:fill="FFFFFF"/>
      <w:vertAlign w:val="baseline"/>
    </w:rPr>
  </w:style>
  <w:style w:type="character" w:customStyle="1" w:styleId="12pt3">
    <w:name w:val="Основной текст + 12 pt3"/>
    <w:uiPriority w:val="99"/>
    <w:rsid w:val="00FF633C"/>
    <w:rPr>
      <w:rFonts w:ascii="Book Antiqua" w:hAnsi="Book Antiqua" w:cs="Book Antiqua"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12pt2">
    <w:name w:val="Основной текст + 12 pt2"/>
    <w:uiPriority w:val="99"/>
    <w:rsid w:val="00FF633C"/>
    <w:rPr>
      <w:rFonts w:ascii="Book Antiqua" w:hAnsi="Book Antiqua" w:cs="Book Antiqua"/>
      <w:b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12pt1">
    <w:name w:val="Основной текст + 12 pt1"/>
    <w:uiPriority w:val="99"/>
    <w:rsid w:val="00FF633C"/>
    <w:rPr>
      <w:rFonts w:ascii="Book Antiqua" w:hAnsi="Book Antiqua" w:cs="Book Antiqua"/>
      <w:color w:val="000000"/>
      <w:spacing w:val="0"/>
      <w:w w:val="100"/>
      <w:sz w:val="24"/>
      <w:szCs w:val="24"/>
      <w:shd w:val="clear" w:color="auto" w:fill="FFFFFF"/>
      <w:vertAlign w:val="baseline"/>
    </w:rPr>
  </w:style>
  <w:style w:type="character" w:customStyle="1" w:styleId="docdata">
    <w:name w:val="docdata"/>
    <w:aliases w:val="docy,v5,2672,baiaagaaboqcaaadaqyaaav3bgaaaaaaaaaaaaaaaaaaaaaaaaaaaaaaaaaaaaaaaaaaaaaaaaaaaaaaaaaaaaaaaaaaaaaaaaaaaaaaaaaaaaaaaaaaaaaaaaaaaaaaaaaaaaaaaaaaaaaaaaaaaaaaaaaaaaaaaaaaaaaaaaaaaaaaaaaaaaaaaaaaaaaaaaaaaaaaaaaaaaaaaaaaaaaaaaaaaaaaaaaaaaaa"/>
    <w:rsid w:val="00FF633C"/>
  </w:style>
  <w:style w:type="character" w:styleId="aff8">
    <w:name w:val="line number"/>
    <w:rsid w:val="00FF633C"/>
  </w:style>
  <w:style w:type="paragraph" w:styleId="aff9">
    <w:name w:val="No Spacing"/>
    <w:link w:val="affa"/>
    <w:uiPriority w:val="1"/>
    <w:qFormat/>
    <w:rsid w:val="00FF63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a">
    <w:name w:val="Без интервала Знак"/>
    <w:link w:val="aff9"/>
    <w:uiPriority w:val="1"/>
    <w:locked/>
    <w:rsid w:val="00FF633C"/>
    <w:rPr>
      <w:rFonts w:ascii="Calibri" w:eastAsia="Times New Roman" w:hAnsi="Calibri" w:cs="Times New Roman"/>
      <w:lang w:eastAsia="ru-RU"/>
    </w:rPr>
  </w:style>
  <w:style w:type="table" w:styleId="affb">
    <w:name w:val="Table Grid"/>
    <w:basedOn w:val="a1"/>
    <w:uiPriority w:val="59"/>
    <w:rsid w:val="00FF63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c">
    <w:name w:val="Без інтервалів"/>
    <w:basedOn w:val="a"/>
    <w:uiPriority w:val="99"/>
    <w:qFormat/>
    <w:rsid w:val="00FF633C"/>
    <w:pPr>
      <w:suppressAutoHyphens/>
    </w:pPr>
    <w:rPr>
      <w:rFonts w:ascii="Calibri" w:eastAsia="Calibri" w:hAnsi="Calibri" w:cs="Calibri"/>
      <w:kern w:val="2"/>
      <w:sz w:val="22"/>
      <w:szCs w:val="22"/>
      <w:lang w:val="uk-UA" w:eastAsia="en-US"/>
    </w:rPr>
  </w:style>
  <w:style w:type="paragraph" w:customStyle="1" w:styleId="211">
    <w:name w:val="Заголовок 21"/>
    <w:basedOn w:val="a"/>
    <w:uiPriority w:val="1"/>
    <w:qFormat/>
    <w:rsid w:val="00FF633C"/>
    <w:pPr>
      <w:widowControl w:val="0"/>
      <w:autoSpaceDE w:val="0"/>
      <w:autoSpaceDN w:val="0"/>
      <w:ind w:left="2107"/>
      <w:outlineLvl w:val="2"/>
    </w:pPr>
    <w:rPr>
      <w:b/>
      <w:bCs/>
      <w:sz w:val="28"/>
      <w:szCs w:val="28"/>
      <w:lang w:val="uk-UA" w:eastAsia="en-US"/>
    </w:rPr>
  </w:style>
  <w:style w:type="character" w:customStyle="1" w:styleId="a7">
    <w:name w:val="Абзац списка Знак"/>
    <w:link w:val="a6"/>
    <w:uiPriority w:val="34"/>
    <w:locked/>
    <w:rsid w:val="00FF633C"/>
    <w:rPr>
      <w:rFonts w:ascii="Calibri" w:eastAsia="Calibri" w:hAnsi="Calibri" w:cs="Times New Roman"/>
      <w:lang w:val="uk-UA" w:eastAsia="zh-CN"/>
    </w:rPr>
  </w:style>
  <w:style w:type="paragraph" w:customStyle="1" w:styleId="99212">
    <w:name w:val="99212"/>
    <w:aliases w:val="baiaagaaboqcaaadp3ebaawlewe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FF633C"/>
    <w:pPr>
      <w:spacing w:before="100" w:beforeAutospacing="1" w:after="100" w:afterAutospacing="1"/>
    </w:pPr>
  </w:style>
  <w:style w:type="paragraph" w:customStyle="1" w:styleId="bodytext0">
    <w:name w:val="bodytext0"/>
    <w:basedOn w:val="a"/>
    <w:autoRedefine/>
    <w:uiPriority w:val="99"/>
    <w:qFormat/>
    <w:rsid w:val="00FF633C"/>
    <w:pPr>
      <w:autoSpaceDN w:val="0"/>
      <w:spacing w:before="100" w:after="1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164690382081684"/>
          <c:y val="0.11079545454545456"/>
          <c:w val="0.72068511198945984"/>
          <c:h val="0.7613636363636364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7940063148933465E-2"/>
                  <c:y val="6.1742326719316145E-3"/>
                </c:manualLayout>
              </c:layout>
              <c:numFmt formatCode="#,##0.0" sourceLinked="0"/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 algn="l">
                    <a:defRPr sz="80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525429338436629"/>
                  <c:y val="6.17424486232013E-3"/>
                </c:manualLayout>
              </c:layout>
              <c:numFmt formatCode="#,##0.0" sourceLinked="0"/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 algn="l">
                    <a:defRPr sz="80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930355651506408E-2"/>
                  <c:y val="9.0151661436176228E-3"/>
                </c:manualLayout>
              </c:layout>
              <c:numFmt formatCode="#,##0.0" sourceLinked="0"/>
              <c:spPr>
                <a:noFill/>
                <a:ln w="25417">
                  <a:noFill/>
                </a:ln>
              </c:spPr>
              <c:txPr>
                <a:bodyPr/>
                <a:lstStyle/>
                <a:p>
                  <a:pPr algn="l">
                    <a:defRPr sz="80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noFill/>
              <a:ln w="25417">
                <a:noFill/>
              </a:ln>
            </c:spPr>
            <c:txPr>
              <a:bodyPr/>
              <a:lstStyle/>
              <a:p>
                <a:pPr algn="l">
                  <a:defRPr sz="75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Податкові надходження  (заг. та спец. ф.)</c:v>
                </c:pt>
                <c:pt idx="1">
                  <c:v>Неподаткові надходження  (заг. та спец. ф.)</c:v>
                </c:pt>
                <c:pt idx="2">
                  <c:v>Офіційні трансферти  (загальний фонд)</c:v>
                </c:pt>
                <c:pt idx="3">
                  <c:v>Доходи від операцій з капіталом  </c:v>
                </c:pt>
              </c:strCache>
            </c:strRef>
          </c:cat>
          <c:val>
            <c:numRef>
              <c:f>Sheet1!$B$2:$E$2</c:f>
              <c:numCache>
                <c:formatCode>#,##0.00</c:formatCode>
                <c:ptCount val="4"/>
                <c:pt idx="0">
                  <c:v>207007.04</c:v>
                </c:pt>
                <c:pt idx="1">
                  <c:v>7580.39</c:v>
                </c:pt>
                <c:pt idx="2">
                  <c:v>82693.88</c:v>
                </c:pt>
                <c:pt idx="3" formatCode="General">
                  <c:v>293.55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Податкові надходження  (заг. та спец. ф.)</c:v>
                </c:pt>
                <c:pt idx="1">
                  <c:v>Неподаткові надходження  (заг. та спец. ф.)</c:v>
                </c:pt>
                <c:pt idx="2">
                  <c:v>Офіційні трансферти  (загальний фонд)</c:v>
                </c:pt>
                <c:pt idx="3">
                  <c:v>Доходи від операцій з капіталом  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300096"/>
        <c:axId val="35301632"/>
      </c:barChart>
      <c:catAx>
        <c:axId val="3530009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uk-UA"/>
          </a:p>
        </c:txPr>
        <c:crossAx val="35301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301632"/>
        <c:scaling>
          <c:orientation val="minMax"/>
        </c:scaling>
        <c:delete val="0"/>
        <c:axPos val="b"/>
        <c:numFmt formatCode="#,##0.0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uk-UA"/>
          </a:p>
        </c:txPr>
        <c:crossAx val="35300096"/>
        <c:crosses val="max"/>
        <c:crossBetween val="between"/>
      </c:valAx>
      <c:spPr>
        <a:noFill/>
        <a:ln w="2541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423558897243107"/>
          <c:y val="0.25698324022346369"/>
          <c:w val="0.61278195488721809"/>
          <c:h val="0.544692737430167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8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7180457803038743"/>
                  <c:y val="-5.28143583444212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1813369658177078E-2"/>
                  <c:y val="0.118740032529723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8583131565730424E-2"/>
                  <c:y val="-0.1455149399125614"/>
                </c:manualLayout>
              </c:layout>
              <c:tx>
                <c:rich>
                  <a:bodyPr/>
                  <a:lstStyle/>
                  <a:p>
                    <a:pPr>
                      <a:defRPr sz="102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Податок 
на майно
9,2%</a:t>
                    </a:r>
                  </a:p>
                </c:rich>
              </c:tx>
              <c:spPr>
                <a:solidFill>
                  <a:srgbClr val="FFFFFF"/>
                </a:solidFill>
                <a:ln w="25416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 sz="102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Акцизний податок
2,1%</a:t>
                    </a:r>
                  </a:p>
                </c:rich>
              </c:tx>
              <c:spPr>
                <a:solidFill>
                  <a:srgbClr val="FFFFFF"/>
                </a:solidFill>
                <a:ln w="25416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3353855384507302"/>
                  <c:y val="-3.6060872695922945E-2"/>
                </c:manualLayout>
              </c:layout>
              <c:tx>
                <c:rich>
                  <a:bodyPr/>
                  <a:lstStyle/>
                  <a:p>
                    <a:pPr>
                      <a:defRPr sz="1026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Інші надходження
0,9%</a:t>
                    </a:r>
                  </a:p>
                </c:rich>
              </c:tx>
              <c:spPr>
                <a:solidFill>
                  <a:srgbClr val="FFFFFF"/>
                </a:solidFill>
                <a:ln w="25416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numFmt formatCode="0.0%" sourceLinked="0"/>
            <c:spPr>
              <a:solidFill>
                <a:srgbClr val="FFFFFF"/>
              </a:solidFill>
              <a:ln w="25416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ПДФО </c:v>
                </c:pt>
                <c:pt idx="1">
                  <c:v>Плата за надання адмінпослуг</c:v>
                </c:pt>
                <c:pt idx="2">
                  <c:v>Податок на майно</c:v>
                </c:pt>
                <c:pt idx="3">
                  <c:v>Акцизний податок</c:v>
                </c:pt>
                <c:pt idx="4">
                  <c:v>Єдиний податок</c:v>
                </c:pt>
                <c:pt idx="5">
                  <c:v>Інші надходження</c:v>
                </c:pt>
              </c:strCache>
            </c:strRef>
          </c:cat>
          <c:val>
            <c:numRef>
              <c:f>Sheet1!$B$2:$H$2</c:f>
              <c:numCache>
                <c:formatCode>#,##0.00</c:formatCode>
                <c:ptCount val="7"/>
                <c:pt idx="0">
                  <c:v>153535.04000000001</c:v>
                </c:pt>
                <c:pt idx="1">
                  <c:v>1431.06</c:v>
                </c:pt>
                <c:pt idx="2">
                  <c:v>19408.900000000001</c:v>
                </c:pt>
                <c:pt idx="3">
                  <c:v>4351.24</c:v>
                </c:pt>
                <c:pt idx="4">
                  <c:v>29585.279999999999</c:v>
                </c:pt>
                <c:pt idx="5">
                  <c:v>2109.1999999999998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8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8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16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ПДФО </c:v>
                </c:pt>
                <c:pt idx="1">
                  <c:v>Плата за надання адмінпослуг</c:v>
                </c:pt>
                <c:pt idx="2">
                  <c:v>Податок на майно</c:v>
                </c:pt>
                <c:pt idx="3">
                  <c:v>Акцизний податок</c:v>
                </c:pt>
                <c:pt idx="4">
                  <c:v>Єдиний податок</c:v>
                </c:pt>
                <c:pt idx="5">
                  <c:v>Інші надходження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16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65217391304349"/>
          <c:y val="0.34501845018450189"/>
          <c:w val="0.61125319693094637"/>
          <c:h val="0.3505535055350553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2696339338721011"/>
                  <c:y val="2.2291805106631011E-2"/>
                </c:manualLayout>
              </c:layout>
              <c:tx>
                <c:rich>
                  <a:bodyPr/>
                  <a:lstStyle/>
                  <a:p>
                    <a:pPr>
                      <a:defRPr sz="104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Бюджетна сфера
78,4%</a:t>
                    </a:r>
                  </a:p>
                </c:rich>
              </c:tx>
              <c:spPr>
                <a:solidFill>
                  <a:srgbClr val="FFFFFF"/>
                </a:solidFill>
                <a:ln w="2538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519241654799183"/>
                  <c:y val="9.90690232484379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1881434958326879"/>
                  <c:y val="-8.5917847643609824E-2"/>
                </c:manualLayout>
              </c:layout>
              <c:tx>
                <c:rich>
                  <a:bodyPr/>
                  <a:lstStyle/>
                  <a:p>
                    <a:pPr>
                      <a:defRPr sz="104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Промисловість
2,2%</a:t>
                    </a:r>
                  </a:p>
                </c:rich>
              </c:tx>
              <c:spPr>
                <a:solidFill>
                  <a:srgbClr val="FFFFFF"/>
                </a:solidFill>
                <a:ln w="2538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892774849519713E-3"/>
                  <c:y val="-9.7722142186300334E-2"/>
                </c:manualLayout>
              </c:layout>
              <c:tx>
                <c:rich>
                  <a:bodyPr/>
                  <a:lstStyle/>
                  <a:p>
                    <a:pPr>
                      <a:defRPr sz="104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Суб"єкти підприємництва
0,6%</a:t>
                    </a:r>
                  </a:p>
                </c:rich>
              </c:tx>
              <c:spPr>
                <a:solidFill>
                  <a:srgbClr val="FFFFFF"/>
                </a:solidFill>
                <a:ln w="2538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7113845059079358"/>
                  <c:y val="-0.16598782484312694"/>
                </c:manualLayout>
              </c:layout>
              <c:tx>
                <c:rich>
                  <a:bodyPr/>
                  <a:lstStyle/>
                  <a:p>
                    <a:pPr>
                      <a:defRPr sz="104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Транспорт, зв"язок
2,8%</a:t>
                    </a:r>
                  </a:p>
                </c:rich>
              </c:tx>
              <c:spPr>
                <a:solidFill>
                  <a:srgbClr val="FFFFFF"/>
                </a:solidFill>
                <a:ln w="2538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20597241914329462"/>
                  <c:y val="1.208991809370878E-2"/>
                </c:manualLayout>
              </c:layout>
              <c:tx>
                <c:rich>
                  <a:bodyPr/>
                  <a:lstStyle/>
                  <a:p>
                    <a:pPr>
                      <a:defRPr sz="104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uk-UA"/>
                      <a:t>Торгівля та Інші 
3,2%</a:t>
                    </a:r>
                  </a:p>
                </c:rich>
              </c:tx>
              <c:spPr>
                <a:solidFill>
                  <a:srgbClr val="FFFFFF"/>
                </a:solidFill>
                <a:ln w="25388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numFmt formatCode="0.0%" sourceLinked="0"/>
            <c:spPr>
              <a:solidFill>
                <a:srgbClr val="FFFFFF"/>
              </a:solidFill>
              <a:ln w="25388">
                <a:noFill/>
              </a:ln>
            </c:spPr>
            <c:txPr>
              <a:bodyPr/>
              <a:lstStyle/>
              <a:p>
                <a:pPr>
                  <a:defRPr sz="104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Бюджетна сфера</c:v>
                </c:pt>
                <c:pt idx="1">
                  <c:v>Сільське господарство</c:v>
                </c:pt>
                <c:pt idx="2">
                  <c:v>Промисловість</c:v>
                </c:pt>
                <c:pt idx="3">
                  <c:v>Суб"єкти підприємництва</c:v>
                </c:pt>
                <c:pt idx="4">
                  <c:v>Транспорт, зв"язок</c:v>
                </c:pt>
                <c:pt idx="5">
                  <c:v>Торгівля та Інші 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187981.8547</c:v>
                </c:pt>
                <c:pt idx="1">
                  <c:v>30607.99582</c:v>
                </c:pt>
                <c:pt idx="2">
                  <c:v>5378.8557000000001</c:v>
                </c:pt>
                <c:pt idx="3">
                  <c:v>1542.95165</c:v>
                </c:pt>
                <c:pt idx="4">
                  <c:v>6680.3386899999996</c:v>
                </c:pt>
                <c:pt idx="5" formatCode="#,##0.00">
                  <c:v>7706.5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88">
                <a:noFill/>
              </a:ln>
            </c:spPr>
            <c:txPr>
              <a:bodyPr/>
              <a:lstStyle/>
              <a:p>
                <a:pPr>
                  <a:defRPr sz="17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Sheet1!$B$1:$H$1</c:f>
              <c:strCache>
                <c:ptCount val="6"/>
                <c:pt idx="0">
                  <c:v>Бюджетна сфера</c:v>
                </c:pt>
                <c:pt idx="1">
                  <c:v>Сільське господарство</c:v>
                </c:pt>
                <c:pt idx="2">
                  <c:v>Промисловість</c:v>
                </c:pt>
                <c:pt idx="3">
                  <c:v>Суб"єкти підприємництва</c:v>
                </c:pt>
                <c:pt idx="4">
                  <c:v>Транспорт, зв"язок</c:v>
                </c:pt>
                <c:pt idx="5">
                  <c:v>Торгівля та Інші 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88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05C7-00A1-40B9-B0AA-43860C7A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23</Pages>
  <Words>34491</Words>
  <Characters>19660</Characters>
  <Application>Microsoft Office Word</Application>
  <DocSecurity>0</DocSecurity>
  <Lines>163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2024-02-23T11:46:00Z</dcterms:created>
  <dcterms:modified xsi:type="dcterms:W3CDTF">2024-03-20T13:48:00Z</dcterms:modified>
</cp:coreProperties>
</file>