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06" w:rsidRPr="00B119CE" w:rsidRDefault="00673006" w:rsidP="0067300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2EC3546" wp14:editId="5AC481B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06" w:rsidRPr="00B119CE" w:rsidRDefault="00673006" w:rsidP="0067300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73006" w:rsidRPr="00B119CE" w:rsidRDefault="00673006" w:rsidP="0067300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73006" w:rsidRPr="00B119CE" w:rsidRDefault="00673006" w:rsidP="0067300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119C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73006" w:rsidRPr="00B119CE" w:rsidRDefault="00673006" w:rsidP="0067300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5E74B7" w:rsidRDefault="00673006" w:rsidP="006730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119CE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119CE">
        <w:rPr>
          <w:rFonts w:ascii="Times New Roman" w:hAnsi="Times New Roman"/>
          <w:sz w:val="28"/>
          <w:szCs w:val="28"/>
          <w:lang w:val="uk-UA"/>
        </w:rPr>
        <w:t>№ 8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119CE">
        <w:rPr>
          <w:rFonts w:ascii="Times New Roman" w:hAnsi="Times New Roman"/>
          <w:sz w:val="28"/>
          <w:szCs w:val="28"/>
          <w:lang w:val="uk-UA"/>
        </w:rPr>
        <w:t>-</w:t>
      </w:r>
      <w:r w:rsidRPr="00B119CE">
        <w:rPr>
          <w:rFonts w:ascii="Times New Roman" w:hAnsi="Times New Roman"/>
          <w:sz w:val="28"/>
          <w:szCs w:val="28"/>
          <w:lang w:val="en-US"/>
        </w:rPr>
        <w:t>V</w:t>
      </w:r>
      <w:r w:rsidRPr="00B119CE">
        <w:rPr>
          <w:rFonts w:ascii="Times New Roman" w:hAnsi="Times New Roman"/>
          <w:sz w:val="28"/>
          <w:szCs w:val="28"/>
          <w:lang w:val="uk-UA"/>
        </w:rPr>
        <w:t>ІІІ</w:t>
      </w:r>
    </w:p>
    <w:p w:rsidR="00673006" w:rsidRDefault="00673006" w:rsidP="0067300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4B7" w:rsidRDefault="005E74B7" w:rsidP="005E7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 угод до договорів оренди землі</w:t>
      </w:r>
    </w:p>
    <w:p w:rsidR="005E74B7" w:rsidRPr="005E74B7" w:rsidRDefault="005E74B7" w:rsidP="005E7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E74B7" w:rsidRDefault="005E74B7" w:rsidP="005E74B7">
      <w:pPr>
        <w:pStyle w:val="a6"/>
        <w:snapToGrid w:val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rFonts w:cs="Times New Roman"/>
          <w:sz w:val="28"/>
          <w:szCs w:val="28"/>
          <w:lang w:val="uk-UA"/>
        </w:rPr>
        <w:t>Будігай</w:t>
      </w:r>
      <w:proofErr w:type="spellEnd"/>
      <w:r>
        <w:rPr>
          <w:rFonts w:cs="Times New Roman"/>
          <w:sz w:val="28"/>
          <w:szCs w:val="28"/>
          <w:lang w:val="uk-UA"/>
        </w:rPr>
        <w:t xml:space="preserve"> І.В. </w:t>
      </w:r>
      <w:r>
        <w:rPr>
          <w:rFonts w:eastAsia="Times New Roman"/>
          <w:sz w:val="28"/>
          <w:szCs w:val="28"/>
          <w:lang w:val="uk-UA" w:eastAsia="ar-SA"/>
        </w:rPr>
        <w:t>щодо внесення змін до договору оренди землі №212 від 05 травня 2021 року, Зелененького О.В.</w:t>
      </w:r>
      <w:r>
        <w:rPr>
          <w:rFonts w:cs="Times New Roman"/>
          <w:sz w:val="28"/>
          <w:szCs w:val="28"/>
          <w:lang w:val="uk-UA"/>
        </w:rPr>
        <w:t xml:space="preserve"> щодо дострокового розірвання договору оренди землі №337 від 09 червня 2023 року, </w:t>
      </w:r>
      <w:proofErr w:type="spellStart"/>
      <w:r>
        <w:rPr>
          <w:rFonts w:cs="Times New Roman"/>
          <w:sz w:val="28"/>
          <w:szCs w:val="28"/>
          <w:lang w:val="uk-UA"/>
        </w:rPr>
        <w:t>Митрофанської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В.В. щодо дострокового розірвання договору оренди землі №340 від 09 червня 2023 року, керуючись статтями 12,</w:t>
      </w:r>
      <w:r w:rsidR="00D07FC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120 Земельного кодексу України, частиною першою статті 651 Цивільного Кодексу України, пунктом 34 частини першої статті 26 Закону України «Про місцеве самоврядування в Україні», статтями 30,</w:t>
      </w:r>
      <w:r w:rsidR="00D07FC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32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cs="Times New Roman"/>
          <w:b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Ананьївська міська рада </w:t>
      </w:r>
    </w:p>
    <w:p w:rsidR="005E74B7" w:rsidRPr="005E74B7" w:rsidRDefault="005E74B7" w:rsidP="005E74B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5E74B7" w:rsidRDefault="005E74B7" w:rsidP="00E955BF">
      <w:p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5E74B7" w:rsidRPr="005E74B7" w:rsidRDefault="005E74B7" w:rsidP="005E74B7">
      <w:pPr>
        <w:tabs>
          <w:tab w:val="left" w:pos="54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5E74B7" w:rsidRPr="00E955BF" w:rsidRDefault="005E74B7" w:rsidP="00E95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5BF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gramStart"/>
      <w:r w:rsidRPr="00E955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412BB0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>.</w:t>
      </w:r>
    </w:p>
    <w:p w:rsidR="005E74B7" w:rsidRPr="00E955BF" w:rsidRDefault="005E74B7" w:rsidP="00E955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B7" w:rsidRPr="00E955BF" w:rsidRDefault="005E74B7" w:rsidP="00E95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виконуючій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Ананьївського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Оксані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ГЛУЩЕНКО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угоди до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872AD4" w:rsidRPr="00E955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5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55B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>.</w:t>
      </w:r>
    </w:p>
    <w:p w:rsidR="005E74B7" w:rsidRPr="00E955BF" w:rsidRDefault="005E74B7" w:rsidP="00E955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4B7" w:rsidRPr="00E955BF" w:rsidRDefault="005E74B7" w:rsidP="00E955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BF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5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55B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Ананьївської міської ради з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B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955BF"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5E74B7" w:rsidRDefault="005E74B7" w:rsidP="005E74B7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40F96" w:rsidRDefault="00140F96" w:rsidP="005E74B7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40F96" w:rsidRDefault="00140F96" w:rsidP="005E74B7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40F96" w:rsidRPr="000C4D56" w:rsidRDefault="00140F96" w:rsidP="00140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40F96" w:rsidRDefault="00140F96" w:rsidP="00140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C4D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140F96" w:rsidRDefault="00140F96" w:rsidP="00D1724B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140F96" w:rsidRDefault="00140F96" w:rsidP="00D1724B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140F96" w:rsidRDefault="00140F96" w:rsidP="00D1724B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140F96" w:rsidRDefault="00140F96" w:rsidP="00D1724B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140F96" w:rsidRDefault="00140F96" w:rsidP="00D1724B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sectPr w:rsidR="00140F96" w:rsidSect="00140F96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140F96" w:rsidRDefault="00140F96" w:rsidP="00D1724B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D1724B" w:rsidRDefault="00D1724B" w:rsidP="00140F96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Додаток</w:t>
      </w:r>
      <w:proofErr w:type="spellEnd"/>
    </w:p>
    <w:p w:rsidR="00D1724B" w:rsidRDefault="00D1724B" w:rsidP="00140F96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5E74B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до рішення Ананьївської</w:t>
      </w:r>
    </w:p>
    <w:p w:rsidR="00D1724B" w:rsidRPr="005E74B7" w:rsidRDefault="00D1724B" w:rsidP="00140F96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5E74B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міської ради </w:t>
      </w:r>
    </w:p>
    <w:p w:rsidR="00D1724B" w:rsidRDefault="00D1724B" w:rsidP="00140F96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від 07 липня 2023 року </w:t>
      </w:r>
    </w:p>
    <w:p w:rsidR="00D1724B" w:rsidRDefault="00140F96" w:rsidP="00140F96">
      <w:pPr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  <w:lang w:val="uk-UA"/>
        </w:rPr>
      </w:pPr>
      <w:r w:rsidRPr="00B119CE">
        <w:rPr>
          <w:rFonts w:ascii="Times New Roman" w:hAnsi="Times New Roman"/>
          <w:sz w:val="28"/>
          <w:szCs w:val="28"/>
          <w:lang w:val="uk-UA"/>
        </w:rPr>
        <w:t>№8</w:t>
      </w:r>
      <w:r>
        <w:rPr>
          <w:rFonts w:ascii="Times New Roman" w:hAnsi="Times New Roman"/>
          <w:sz w:val="28"/>
          <w:szCs w:val="28"/>
          <w:lang w:val="uk-UA"/>
        </w:rPr>
        <w:t>82</w:t>
      </w:r>
      <w:r w:rsidRPr="00B119CE">
        <w:rPr>
          <w:rFonts w:ascii="Times New Roman" w:hAnsi="Times New Roman"/>
          <w:sz w:val="28"/>
          <w:szCs w:val="28"/>
          <w:lang w:val="uk-UA"/>
        </w:rPr>
        <w:t>-</w:t>
      </w:r>
      <w:r w:rsidRPr="00B119CE">
        <w:rPr>
          <w:rFonts w:ascii="Times New Roman" w:hAnsi="Times New Roman"/>
          <w:sz w:val="28"/>
          <w:szCs w:val="28"/>
          <w:lang w:val="en-US"/>
        </w:rPr>
        <w:t>V</w:t>
      </w:r>
      <w:r w:rsidRPr="00B119CE">
        <w:rPr>
          <w:rFonts w:ascii="Times New Roman" w:hAnsi="Times New Roman"/>
          <w:sz w:val="28"/>
          <w:szCs w:val="28"/>
          <w:lang w:val="uk-UA"/>
        </w:rPr>
        <w:t>ІІІ</w:t>
      </w:r>
    </w:p>
    <w:p w:rsidR="00140F96" w:rsidRPr="005E74B7" w:rsidRDefault="00140F96" w:rsidP="00140F96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1724B" w:rsidRDefault="00D1724B" w:rsidP="00D17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</w:t>
      </w:r>
      <w:proofErr w:type="spellEnd"/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договорів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оренди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землі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та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змін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до них</w:t>
      </w:r>
    </w:p>
    <w:tbl>
      <w:tblPr>
        <w:tblW w:w="1531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1276"/>
        <w:gridCol w:w="1133"/>
        <w:gridCol w:w="3119"/>
        <w:gridCol w:w="1417"/>
        <w:gridCol w:w="1701"/>
        <w:gridCol w:w="2693"/>
        <w:gridCol w:w="2556"/>
      </w:tblGrid>
      <w:tr w:rsidR="00D1724B" w:rsidTr="00560F64">
        <w:trPr>
          <w:trHeight w:val="10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724B" w:rsidRPr="006D5EBB" w:rsidRDefault="00D1724B" w:rsidP="00D1724B">
            <w:pPr>
              <w:widowControl w:val="0"/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№ договору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земелі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Дата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укладання</w:t>
            </w:r>
            <w:proofErr w:type="spellEnd"/>
          </w:p>
          <w:p w:rsidR="00D1724B" w:rsidRPr="006D5EBB" w:rsidRDefault="00D1724B" w:rsidP="00560F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Назва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Місце</w:t>
            </w:r>
            <w:proofErr w:type="spellEnd"/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розташування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Орендодавець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Орендар</w:t>
            </w:r>
            <w:proofErr w:type="spellEnd"/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Назва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додаткової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угоди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</w:t>
            </w:r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</w:t>
            </w:r>
          </w:p>
        </w:tc>
      </w:tr>
      <w:tr w:rsidR="00D1724B" w:rsidTr="00560F64">
        <w:trPr>
          <w:trHeight w:val="185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05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травня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2021 року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Незалежності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, 29/2,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м. Ананьїв,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район,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Одеська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область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5120210100:02:001:0578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Будігай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Ірина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Володимирівна</w:t>
            </w:r>
            <w:proofErr w:type="spellEnd"/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</w:t>
            </w:r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№212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05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травня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2021 року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орендаря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з «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Патрікан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Аркадій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Миколайович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» 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Будігай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Ірина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Володимирівна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нормативної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грошової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оцінки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орендної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плати</w:t>
            </w:r>
          </w:p>
        </w:tc>
      </w:tr>
      <w:tr w:rsidR="00D1724B" w:rsidTr="00560F64">
        <w:trPr>
          <w:trHeight w:val="1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09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червня</w:t>
            </w:r>
            <w:proofErr w:type="spellEnd"/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пров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.К</w:t>
            </w:r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аштановий,31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м. Ананьїв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район,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Одеська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область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5120210100:02:002:0847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Зелененький</w:t>
            </w:r>
          </w:p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D5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Олександр</w:t>
            </w:r>
            <w:proofErr w:type="spellEnd"/>
          </w:p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Васильович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№337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09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червня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2023 року за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двох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</w:tr>
      <w:tr w:rsidR="00D1724B" w:rsidTr="00560F64">
        <w:trPr>
          <w:trHeight w:val="1855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09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червня</w:t>
            </w:r>
            <w:proofErr w:type="spellEnd"/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</w:t>
            </w:r>
            <w:proofErr w:type="gram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.С</w:t>
            </w:r>
            <w:proofErr w:type="gram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елянська,10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с. Ананьїв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район,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Одеська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область</w:t>
            </w:r>
          </w:p>
          <w:p w:rsidR="00D1724B" w:rsidRPr="006D5EBB" w:rsidRDefault="00D1724B" w:rsidP="00560F6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5120280500:02:001:0314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D5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Митрофанська</w:t>
            </w:r>
            <w:proofErr w:type="spellEnd"/>
          </w:p>
          <w:p w:rsidR="00D1724B" w:rsidRPr="006D5EBB" w:rsidRDefault="00D1724B" w:rsidP="00D1724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Віра</w:t>
            </w:r>
            <w:proofErr w:type="spellEnd"/>
            <w:r w:rsidRPr="006D5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5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Василівна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№340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09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червня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2023 року за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двох</w:t>
            </w:r>
            <w:proofErr w:type="spellEnd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D5EBB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724B" w:rsidRPr="006D5EBB" w:rsidRDefault="00D1724B" w:rsidP="00560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</w:tr>
    </w:tbl>
    <w:p w:rsidR="005E74B7" w:rsidRPr="00D1724B" w:rsidRDefault="005E74B7" w:rsidP="006D5EBB">
      <w:pPr>
        <w:pStyle w:val="a5"/>
        <w:jc w:val="both"/>
      </w:pPr>
    </w:p>
    <w:sectPr w:rsidR="005E74B7" w:rsidRPr="00D1724B" w:rsidSect="00140F9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A55148"/>
    <w:multiLevelType w:val="hybridMultilevel"/>
    <w:tmpl w:val="617A250C"/>
    <w:lvl w:ilvl="0" w:tplc="E1E4A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BF"/>
    <w:rsid w:val="00140F96"/>
    <w:rsid w:val="00412BB0"/>
    <w:rsid w:val="005E74B7"/>
    <w:rsid w:val="00673006"/>
    <w:rsid w:val="006D5EBB"/>
    <w:rsid w:val="00872AD4"/>
    <w:rsid w:val="00A42118"/>
    <w:rsid w:val="00B03E24"/>
    <w:rsid w:val="00D07FCC"/>
    <w:rsid w:val="00D1724B"/>
    <w:rsid w:val="00E955B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18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5E74B7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a6">
    <w:name w:val="Содержимое таблицы"/>
    <w:basedOn w:val="a"/>
    <w:rsid w:val="005E74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5E7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18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5E74B7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a6">
    <w:name w:val="Содержимое таблицы"/>
    <w:basedOn w:val="a"/>
    <w:rsid w:val="005E74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5E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2023-06-30T06:55:00Z</dcterms:created>
  <dcterms:modified xsi:type="dcterms:W3CDTF">2023-07-05T10:09:00Z</dcterms:modified>
</cp:coreProperties>
</file>