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FC" w:rsidRPr="002A76FC" w:rsidRDefault="002A76FC" w:rsidP="002A76FC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32"/>
          <w:szCs w:val="32"/>
          <w:lang w:eastAsia="ar-SA" w:bidi="ar-SA"/>
        </w:rPr>
      </w:pPr>
      <w:r w:rsidRPr="002A76F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4C91811" wp14:editId="31ACEB5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FC" w:rsidRPr="002A76FC" w:rsidRDefault="002A76FC" w:rsidP="002A76FC">
      <w:pPr>
        <w:widowControl/>
        <w:tabs>
          <w:tab w:val="center" w:pos="4931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</w:pPr>
      <w:r w:rsidRPr="002A76FC"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  <w:t>АНАНЬЇВСЬКА МІСЬКА РАДА</w:t>
      </w:r>
    </w:p>
    <w:p w:rsidR="002A76FC" w:rsidRPr="002A76FC" w:rsidRDefault="002A76FC" w:rsidP="002A76FC">
      <w:pPr>
        <w:widowControl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 w:bidi="ar-SA"/>
        </w:rPr>
      </w:pPr>
      <w:r w:rsidRPr="002A76FC">
        <w:rPr>
          <w:rFonts w:ascii="Times New Roman" w:eastAsia="Times New Roman" w:hAnsi="Times New Roman" w:cs="Times New Roman"/>
          <w:b/>
          <w:bCs/>
          <w:sz w:val="30"/>
          <w:szCs w:val="30"/>
          <w:lang w:eastAsia="ar-SA" w:bidi="ar-SA"/>
        </w:rPr>
        <w:t>РІШЕННЯ</w:t>
      </w:r>
    </w:p>
    <w:p w:rsidR="002A76FC" w:rsidRPr="002A76FC" w:rsidRDefault="002A76FC" w:rsidP="002A76FC">
      <w:pPr>
        <w:widowControl/>
        <w:suppressAutoHyphens/>
        <w:spacing w:line="200" w:lineRule="atLeast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A76FC">
        <w:rPr>
          <w:rFonts w:ascii="Times New Roman" w:eastAsia="Times New Roman" w:hAnsi="Times New Roman" w:cs="Times New Roman"/>
          <w:color w:val="auto"/>
          <w:lang w:eastAsia="ar-SA" w:bidi="ar-SA"/>
        </w:rPr>
        <w:t>Ананьїв</w:t>
      </w:r>
    </w:p>
    <w:p w:rsidR="002A76FC" w:rsidRPr="002A76FC" w:rsidRDefault="002A76FC" w:rsidP="002A76FC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eastAsia="ar-SA" w:bidi="ar-SA"/>
        </w:rPr>
      </w:pPr>
    </w:p>
    <w:p w:rsidR="002A76FC" w:rsidRPr="002A76FC" w:rsidRDefault="002A76FC" w:rsidP="002A76F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 листопада 2022 року</w:t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№ 681</w:t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</w:p>
    <w:p w:rsidR="00F85B00" w:rsidRPr="00F85B00" w:rsidRDefault="00F85B00" w:rsidP="00F85B0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85B00" w:rsidRDefault="00F85B00" w:rsidP="00F85B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внесення змін до рішення Ананьївської міської ради </w:t>
      </w:r>
    </w:p>
    <w:p w:rsidR="00F85B00" w:rsidRDefault="00F85B00" w:rsidP="00F85B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від 04 березня 2022 року №</w:t>
      </w:r>
      <w:r w:rsidRPr="005A75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592-</w:t>
      </w:r>
      <w:r w:rsidR="005A75C8" w:rsidRPr="00F85B00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="005A75C8" w:rsidRPr="00F85B0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ІІІ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AE5BE4" w:rsidRDefault="00AE5BE4" w:rsidP="00F85B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E5BE4" w:rsidRDefault="00AE5BE4" w:rsidP="00EF2C07">
      <w:pPr>
        <w:widowControl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Відповідно до  статті 26 Закону України «Про місцеве самоврядування в Україні», пункту 4 частини другої статті 19 Кодексу цивільного захисту України, </w:t>
      </w:r>
      <w:r>
        <w:rPr>
          <w:rFonts w:ascii="Times New Roman" w:hAnsi="Times New Roman" w:cs="Times New Roman"/>
          <w:sz w:val="28"/>
          <w:szCs w:val="28"/>
        </w:rPr>
        <w:t>підпункту 16 статті 91 Бюджетного Кодексу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Україні», Указу Президента України від                         14 березня 2022 року №133/2022 «Про продовження строку дії воєнного стану в Україні», затвердженого Законом України від 15 березня 2022 року № 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 2212-IX «Про затвердження Указу Президента України «Про продовження строку дії воєнного стану в Україні», Указу Президента України від 17 травня </w:t>
      </w:r>
      <w:r w:rsidR="002A76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2022 року №341/2022 «Про продовження строку дії воєнного стану в Україні», затвердженого Законом України від 22 травня 2022 року № 2263-IX «Про затвердження Указу Президента України «Про продовження строку дії воєнного стану в Україні», Указу Президента України від 12 серпня                    2022 року №573/2022 «Про продовження строку дії воєнного стану в Україні», затвердженого Законом України від 15 серпня 2022 року № 2500-IX «Про затвердження Указу Президента України «Про продовження строку дії воєнного стану в Україні», враховуючи рішення виконавчого комітету Ананьївської міської ради від 17 листопада 2022 року </w:t>
      </w:r>
      <w:r w:rsidRPr="002A76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</w:t>
      </w:r>
      <w:r w:rsidR="002A76FC" w:rsidRPr="002A76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233</w:t>
      </w:r>
      <w:r w:rsidRPr="002A76FC">
        <w:rPr>
          <w:rFonts w:hint="eastAsia"/>
          <w:color w:val="auto"/>
        </w:rPr>
        <w:t xml:space="preserve"> </w:t>
      </w:r>
      <w:r>
        <w:rPr>
          <w:rFonts w:hint="eastAsi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 схвалення проекту рішення Ананьївської міської ради «Про внесення змін до рішення Ананьївської міської ради від 04 березня 2022 року № 592-</w:t>
      </w:r>
      <w:r w:rsidR="002A76FC" w:rsidRPr="002A76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="002A76FC"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  <w:r w:rsid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«Про затвердження міської цільової Програми на 2022-2025 роки «Розвиток цивільного захисту, техногенної та пожежної безпеки», з метою захисту населення і територій від надзвичайних ситуацій та запобігання їх виникненню, забезпечення техногенної та пожежної безпеки,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AE5BE4" w:rsidRPr="008B1EFA" w:rsidRDefault="00AE5BE4" w:rsidP="00AE5BE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E5BE4" w:rsidRPr="008B1EFA" w:rsidRDefault="00AE5BE4" w:rsidP="00AE5BE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B1EF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ВИРІШИЛА:</w:t>
      </w:r>
    </w:p>
    <w:p w:rsidR="00AE5BE4" w:rsidRPr="008B1EFA" w:rsidRDefault="00AE5BE4" w:rsidP="00AE5BE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E5BE4" w:rsidRDefault="00AE5BE4" w:rsidP="0066271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Внести зміни до рішення Ананьївської міської </w:t>
      </w:r>
      <w:r w:rsidR="008B1E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ради від 04 березня 2022 року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592-</w:t>
      </w:r>
      <w:r w:rsidR="008B1EFA" w:rsidRPr="00F85B0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="008B1EFA" w:rsidRPr="00F85B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  <w:r w:rsidR="008B1E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«Про затвердження міської цільової Програми на </w:t>
      </w:r>
      <w:r w:rsidR="002A76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2022-2025 роки «Розвиток цивільного захисту, техногенної та пожежної безпеки», виклавши міську цільову Програму на 2022-2025 роки «Розвиток цивільного захисту, техногенної та пожежної безпеки» у новій редакції (додається).</w:t>
      </w:r>
    </w:p>
    <w:p w:rsidR="0066271C" w:rsidRPr="0066271C" w:rsidRDefault="0066271C" w:rsidP="0066271C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E5BE4" w:rsidRDefault="00AE5BE4" w:rsidP="00AE5BE4">
      <w:pPr>
        <w:widowControl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Програми.</w:t>
      </w:r>
    </w:p>
    <w:p w:rsidR="0066271C" w:rsidRPr="0066271C" w:rsidRDefault="0066271C" w:rsidP="00AE5BE4">
      <w:pPr>
        <w:widowControl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E5BE4" w:rsidRDefault="00AE5BE4" w:rsidP="00AE5BE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Контроль за виконанням </w:t>
      </w:r>
      <w:r w:rsidR="002A76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цього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рішення  покласти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E5BE4" w:rsidRPr="0066271C" w:rsidRDefault="00AE5BE4" w:rsidP="00AE5BE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E5BE4" w:rsidRPr="0066271C" w:rsidRDefault="00AE5BE4" w:rsidP="00AE5BE4">
      <w:pPr>
        <w:widowControl/>
        <w:ind w:right="-1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E5BE4" w:rsidRPr="0066271C" w:rsidRDefault="00AE5BE4" w:rsidP="00AE5BE4">
      <w:pPr>
        <w:widowControl/>
        <w:ind w:right="-1"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4193E" w:rsidRPr="0054193E" w:rsidRDefault="0054193E" w:rsidP="0054193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Виконуюча</w:t>
      </w:r>
      <w:proofErr w:type="spellEnd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обов’язки</w:t>
      </w:r>
      <w:proofErr w:type="spellEnd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54193E" w:rsidRPr="0054193E" w:rsidRDefault="0054193E" w:rsidP="0054193E">
      <w:pPr>
        <w:widowControl/>
        <w:rPr>
          <w:rFonts w:ascii="Calibri" w:eastAsia="Calibri" w:hAnsi="Calibri" w:cs="Times New Roman"/>
          <w:color w:val="auto"/>
          <w:sz w:val="22"/>
          <w:szCs w:val="22"/>
          <w:lang w:val="ru-RU" w:eastAsia="en-US" w:bidi="ar-SA"/>
        </w:rPr>
      </w:pPr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Ананьївського  </w:t>
      </w:r>
      <w:proofErr w:type="spellStart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міського</w:t>
      </w:r>
      <w:proofErr w:type="spellEnd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голови</w:t>
      </w:r>
      <w:proofErr w:type="spellEnd"/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</w:t>
      </w:r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</w:t>
      </w:r>
      <w:r w:rsidRPr="005419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Оксана ГЛУЩЕНКО</w:t>
      </w:r>
    </w:p>
    <w:p w:rsidR="00AE5BE4" w:rsidRDefault="00AE5BE4" w:rsidP="00AE5BE4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br w:type="page"/>
      </w:r>
    </w:p>
    <w:p w:rsidR="00AE5BE4" w:rsidRDefault="00AE5BE4" w:rsidP="00F85B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623897" w:rsidRPr="00623897" w:rsidRDefault="00623897" w:rsidP="00623897">
      <w:pPr>
        <w:widowControl/>
        <w:tabs>
          <w:tab w:val="left" w:pos="5103"/>
        </w:tabs>
        <w:ind w:left="6379" w:hanging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623897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ЗАТВЕРДЖЕНО</w:t>
      </w:r>
    </w:p>
    <w:p w:rsidR="00623897" w:rsidRPr="00623897" w:rsidRDefault="00623897" w:rsidP="00623897">
      <w:pPr>
        <w:widowControl/>
        <w:tabs>
          <w:tab w:val="left" w:pos="5103"/>
          <w:tab w:val="left" w:pos="6379"/>
        </w:tabs>
        <w:ind w:left="6379" w:hanging="9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623897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рішення Ананьївської </w:t>
      </w:r>
    </w:p>
    <w:p w:rsidR="00623897" w:rsidRPr="00623897" w:rsidRDefault="00623897" w:rsidP="00623897">
      <w:pPr>
        <w:widowControl/>
        <w:tabs>
          <w:tab w:val="left" w:pos="5103"/>
        </w:tabs>
        <w:ind w:left="6379" w:hanging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623897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міської ради </w:t>
      </w:r>
    </w:p>
    <w:p w:rsidR="00623897" w:rsidRDefault="00623897" w:rsidP="00623897">
      <w:pPr>
        <w:widowControl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від 04 березня 2022 року</w:t>
      </w:r>
    </w:p>
    <w:p w:rsidR="00623897" w:rsidRPr="00623897" w:rsidRDefault="00623897" w:rsidP="00623897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             № 592-</w:t>
      </w:r>
      <w:r w:rsidRPr="0062389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6238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</w:p>
    <w:p w:rsidR="00623897" w:rsidRPr="00623897" w:rsidRDefault="00623897" w:rsidP="00623897">
      <w:pPr>
        <w:widowControl/>
        <w:ind w:left="566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38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(в редакції рішення Ананьївської міської ради</w:t>
      </w:r>
    </w:p>
    <w:p w:rsidR="00623897" w:rsidRPr="00623897" w:rsidRDefault="00623897" w:rsidP="00623897">
      <w:pPr>
        <w:widowControl/>
        <w:ind w:left="566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38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від 18 листопада 2022 року</w:t>
      </w:r>
    </w:p>
    <w:p w:rsidR="00AE5BE4" w:rsidRDefault="00623897" w:rsidP="007A45A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6238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</w:t>
      </w:r>
      <w:r w:rsidR="007A45A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 681</w:t>
      </w:r>
      <w:r w:rsidR="007A45A0"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7A45A0" w:rsidRPr="002A76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="007A45A0" w:rsidRPr="002A76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</w:p>
    <w:p w:rsidR="00AE5BE4" w:rsidRDefault="00AE5BE4" w:rsidP="00F85B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Міська цільова Програма </w:t>
      </w: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на 2022-2025 роки</w:t>
      </w: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«Розвиток цивільного захисту, техногенної та пожежної безпеки»</w:t>
      </w: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D41" w:rsidRDefault="00F65D41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Ананьїв 2022</w:t>
      </w:r>
    </w:p>
    <w:p w:rsidR="003B4046" w:rsidRDefault="003B4046" w:rsidP="003B40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3B4046" w:rsidRDefault="003B4046" w:rsidP="00F65D41">
      <w:pPr>
        <w:pStyle w:val="1"/>
        <w:numPr>
          <w:ilvl w:val="0"/>
          <w:numId w:val="6"/>
        </w:numPr>
        <w:tabs>
          <w:tab w:val="left" w:pos="2924"/>
        </w:tabs>
        <w:jc w:val="center"/>
        <w:rPr>
          <w:b/>
          <w:bCs/>
          <w:sz w:val="28"/>
          <w:szCs w:val="28"/>
          <w:lang w:val="uk-UA"/>
        </w:rPr>
      </w:pPr>
      <w:bookmarkStart w:id="0" w:name="bookmark0"/>
      <w:bookmarkEnd w:id="0"/>
      <w:r>
        <w:rPr>
          <w:b/>
          <w:bCs/>
          <w:sz w:val="28"/>
          <w:szCs w:val="28"/>
        </w:rPr>
        <w:lastRenderedPageBreak/>
        <w:t>ПАСПОРТ</w:t>
      </w:r>
    </w:p>
    <w:p w:rsidR="003B4046" w:rsidRDefault="003B4046" w:rsidP="003B404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цільової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на 2022-2025 роки Ананьївської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ради</w:t>
      </w:r>
      <w:proofErr w:type="gramEnd"/>
    </w:p>
    <w:p w:rsidR="003B4046" w:rsidRDefault="003B4046" w:rsidP="003B404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Розвиток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цивільного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техногенної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пожежної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>»</w:t>
      </w:r>
    </w:p>
    <w:tbl>
      <w:tblPr>
        <w:tblOverlap w:val="never"/>
        <w:tblW w:w="0" w:type="auto"/>
        <w:jc w:val="center"/>
        <w:tblInd w:w="-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543"/>
        <w:gridCol w:w="5717"/>
      </w:tblGrid>
      <w:tr w:rsidR="003B4046" w:rsidTr="00EF37A6">
        <w:trPr>
          <w:trHeight w:hRule="exact" w:val="10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Pr="00F60005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046" w:rsidRDefault="003B4046">
            <w:pPr>
              <w:pStyle w:val="a6"/>
              <w:tabs>
                <w:tab w:val="left" w:pos="3326"/>
              </w:tabs>
              <w:spacing w:line="252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Ананьївська </w:t>
            </w:r>
            <w:proofErr w:type="spellStart"/>
            <w:r>
              <w:rPr>
                <w:sz w:val="28"/>
                <w:szCs w:val="28"/>
              </w:rPr>
              <w:t>міська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  <w:p w:rsidR="003B4046" w:rsidRDefault="003B4046">
            <w:pPr>
              <w:pStyle w:val="a6"/>
              <w:tabs>
                <w:tab w:val="left" w:pos="3326"/>
              </w:tabs>
              <w:spacing w:line="252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ДПРЧ 4 ДПРЗ ГУ ДСНС України в </w:t>
            </w:r>
            <w:proofErr w:type="spellStart"/>
            <w:r>
              <w:rPr>
                <w:sz w:val="28"/>
                <w:szCs w:val="28"/>
              </w:rPr>
              <w:t>Одеській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3B4046" w:rsidTr="003B4046">
        <w:trPr>
          <w:trHeight w:hRule="exact" w:val="1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Pr="00F60005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17 листопада 2022 року </w:t>
            </w:r>
            <w:r w:rsidRPr="007A45A0">
              <w:rPr>
                <w:sz w:val="28"/>
                <w:szCs w:val="28"/>
              </w:rPr>
              <w:t xml:space="preserve">№ </w:t>
            </w:r>
            <w:r w:rsidR="007A45A0" w:rsidRPr="007A45A0">
              <w:rPr>
                <w:sz w:val="28"/>
                <w:szCs w:val="28"/>
                <w:lang w:val="uk-UA"/>
              </w:rPr>
              <w:t xml:space="preserve">233 </w:t>
            </w:r>
            <w:r>
              <w:rPr>
                <w:sz w:val="28"/>
                <w:szCs w:val="28"/>
              </w:rPr>
              <w:t xml:space="preserve">«Про </w:t>
            </w:r>
            <w:proofErr w:type="spellStart"/>
            <w:r>
              <w:rPr>
                <w:sz w:val="28"/>
                <w:szCs w:val="28"/>
              </w:rPr>
              <w:t>схвалення</w:t>
            </w:r>
            <w:proofErr w:type="spellEnd"/>
            <w:r>
              <w:rPr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Ананьївської </w:t>
            </w:r>
          </w:p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Ананьївської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 04 </w:t>
            </w:r>
            <w:proofErr w:type="spellStart"/>
            <w:r>
              <w:rPr>
                <w:sz w:val="28"/>
                <w:szCs w:val="28"/>
              </w:rPr>
              <w:t>березня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D116D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</w:rPr>
              <w:t>2022 року № 592-VIII»</w:t>
            </w:r>
          </w:p>
        </w:tc>
      </w:tr>
      <w:tr w:rsidR="003B4046" w:rsidRPr="00EF37A6" w:rsidTr="00EF37A6">
        <w:trPr>
          <w:trHeight w:hRule="exact" w:val="105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оборонної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F37A6">
              <w:rPr>
                <w:sz w:val="28"/>
                <w:szCs w:val="28"/>
              </w:rPr>
              <w:t xml:space="preserve">Ананьївської </w:t>
            </w:r>
            <w:proofErr w:type="spellStart"/>
            <w:r w:rsidR="00EF37A6">
              <w:rPr>
                <w:sz w:val="28"/>
                <w:szCs w:val="28"/>
              </w:rPr>
              <w:t>міської</w:t>
            </w:r>
            <w:proofErr w:type="spellEnd"/>
            <w:r w:rsidR="00EF37A6">
              <w:rPr>
                <w:sz w:val="28"/>
                <w:szCs w:val="28"/>
              </w:rPr>
              <w:t xml:space="preserve"> ради</w:t>
            </w:r>
            <w:r w:rsidR="00EF3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Ананьївської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3B4046" w:rsidTr="003B4046">
        <w:trPr>
          <w:trHeight w:hRule="exact" w:val="7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ДПРЧ 4 ДПРЗ ГУ ДСНС України в </w:t>
            </w:r>
            <w:proofErr w:type="spellStart"/>
            <w:r>
              <w:rPr>
                <w:sz w:val="28"/>
                <w:szCs w:val="28"/>
              </w:rPr>
              <w:t>Одеській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3B4046" w:rsidTr="003B4046">
        <w:trPr>
          <w:trHeight w:hRule="exact" w:val="323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bookmarkStart w:id="1" w:name="_GoBack"/>
            <w:bookmarkEnd w:id="1"/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 w:rsidP="00DD116D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Ананьївська </w:t>
            </w:r>
            <w:proofErr w:type="spellStart"/>
            <w:r>
              <w:rPr>
                <w:sz w:val="28"/>
                <w:szCs w:val="28"/>
              </w:rPr>
              <w:t>міська</w:t>
            </w:r>
            <w:proofErr w:type="spellEnd"/>
            <w:r>
              <w:rPr>
                <w:sz w:val="28"/>
                <w:szCs w:val="28"/>
              </w:rPr>
              <w:t xml:space="preserve"> рада (сектор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оборонної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Ананьївської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ради), </w:t>
            </w:r>
            <w:proofErr w:type="spellStart"/>
            <w:r>
              <w:rPr>
                <w:sz w:val="28"/>
                <w:szCs w:val="28"/>
              </w:rPr>
              <w:t>Фінансове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Ананьївської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(в </w:t>
            </w:r>
            <w:proofErr w:type="spellStart"/>
            <w:r>
              <w:rPr>
                <w:sz w:val="28"/>
                <w:szCs w:val="28"/>
              </w:rPr>
              <w:t>частині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міжбюджетних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трансфертів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Балансоутримувачі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D116D"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ідділ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Ананьївської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proofErr w:type="gramEnd"/>
          </w:p>
        </w:tc>
      </w:tr>
      <w:tr w:rsidR="003B4046" w:rsidTr="003B4046">
        <w:trPr>
          <w:trHeight w:hRule="exact" w:val="198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Головні розпорядники коштів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Ананьївська міська рада</w:t>
            </w:r>
            <w:r w:rsidR="00DD116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B4046" w:rsidRDefault="003B404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  <w:r w:rsidR="00DD1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4046" w:rsidRDefault="003B404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Балансоутримувачі захисних споруд цивільного захисту</w:t>
            </w:r>
          </w:p>
        </w:tc>
      </w:tr>
      <w:tr w:rsidR="003B4046" w:rsidTr="003B4046">
        <w:trPr>
          <w:trHeight w:hRule="exact" w:val="22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програми </w:t>
            </w:r>
          </w:p>
          <w:p w:rsidR="003B4046" w:rsidRDefault="003B4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tabs>
                <w:tab w:val="left" w:pos="0"/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ДПРЧ 4 ДПРЗ ГУ ДСНС України в Одеській області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Ананьївської міської ради</w:t>
            </w:r>
            <w:r w:rsidR="00DD1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4046" w:rsidRDefault="003B4046">
            <w:pPr>
              <w:tabs>
                <w:tab w:val="left" w:pos="0"/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  <w:r w:rsidR="00DD1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4046" w:rsidRDefault="003B4046">
            <w:pPr>
              <w:tabs>
                <w:tab w:val="left" w:pos="0"/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Балансоутримувачі захисних споруд цивільного захисту</w:t>
            </w:r>
          </w:p>
        </w:tc>
      </w:tr>
      <w:tr w:rsidR="003B4046" w:rsidTr="003B4046">
        <w:trPr>
          <w:trHeight w:hRule="exact" w:val="4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046" w:rsidRDefault="003B4046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 роки</w:t>
            </w:r>
          </w:p>
        </w:tc>
      </w:tr>
      <w:tr w:rsidR="003B4046" w:rsidTr="003B4046">
        <w:trPr>
          <w:trHeight w:hRule="exact" w:val="1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 виконання програми (для довгострокових програм)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4046" w:rsidRDefault="003B4046" w:rsidP="003B40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B4046" w:rsidSect="002A3C9D">
          <w:pgSz w:w="11900" w:h="16840"/>
          <w:pgMar w:top="567" w:right="851" w:bottom="1134" w:left="1701" w:header="1434" w:footer="247" w:gutter="0"/>
          <w:cols w:space="720"/>
        </w:sectPr>
      </w:pPr>
    </w:p>
    <w:tbl>
      <w:tblPr>
        <w:tblOverlap w:val="never"/>
        <w:tblW w:w="0" w:type="auto"/>
        <w:jc w:val="center"/>
        <w:tblInd w:w="-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543"/>
        <w:gridCol w:w="5717"/>
      </w:tblGrid>
      <w:tr w:rsidR="003B4046" w:rsidTr="003B4046">
        <w:trPr>
          <w:trHeight w:hRule="exact" w:val="71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Pr="00F60005" w:rsidRDefault="003B4046" w:rsidP="00F60005">
            <w:pPr>
              <w:pStyle w:val="a6"/>
              <w:ind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Перелік бюджетів, які беруть участь у виконанні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Бюджет міської територіальної громади</w:t>
            </w:r>
          </w:p>
        </w:tc>
      </w:tr>
      <w:tr w:rsidR="003B4046" w:rsidTr="003B4046">
        <w:trPr>
          <w:trHeight w:hRule="exact" w:val="99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046" w:rsidRDefault="009A0C7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3B4046">
              <w:rPr>
                <w:rFonts w:ascii="Times New Roman" w:eastAsia="Times New Roman" w:hAnsi="Times New Roman" w:cs="Times New Roman"/>
                <w:sz w:val="27"/>
                <w:szCs w:val="27"/>
              </w:rPr>
              <w:t>074,0 тис. грн.</w:t>
            </w:r>
          </w:p>
        </w:tc>
      </w:tr>
      <w:tr w:rsidR="003B4046" w:rsidTr="003B4046">
        <w:trPr>
          <w:trHeight w:hRule="exact" w:val="69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46" w:rsidRDefault="003B4046" w:rsidP="00F60005">
            <w:pPr>
              <w:pStyle w:val="a6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046" w:rsidRDefault="003B40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Кошти бюджету територіальної громади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046" w:rsidRDefault="009A0C7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3B4046">
              <w:rPr>
                <w:rFonts w:ascii="Times New Roman" w:eastAsia="Times New Roman" w:hAnsi="Times New Roman" w:cs="Times New Roman"/>
                <w:sz w:val="27"/>
                <w:szCs w:val="27"/>
              </w:rPr>
              <w:t>074,0 тис. грн.</w:t>
            </w:r>
          </w:p>
        </w:tc>
      </w:tr>
    </w:tbl>
    <w:p w:rsidR="003B4046" w:rsidRDefault="003B4046" w:rsidP="003B4046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3B4046" w:rsidRDefault="003B4046" w:rsidP="00F60005">
      <w:pPr>
        <w:pStyle w:val="11"/>
        <w:keepNext/>
        <w:keepLines/>
        <w:tabs>
          <w:tab w:val="left" w:pos="1494"/>
        </w:tabs>
        <w:spacing w:after="0" w:line="240" w:lineRule="auto"/>
        <w:ind w:left="0"/>
        <w:rPr>
          <w:sz w:val="28"/>
          <w:szCs w:val="28"/>
          <w:lang w:val="uk-UA"/>
        </w:rPr>
      </w:pPr>
      <w:bookmarkStart w:id="2" w:name="bookmark3"/>
      <w:bookmarkStart w:id="3" w:name="bookmark1"/>
      <w:bookmarkStart w:id="4" w:name="bookmark2"/>
      <w:bookmarkStart w:id="5" w:name="bookmark4"/>
      <w:bookmarkEnd w:id="2"/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bookmarkEnd w:id="3"/>
      <w:bookmarkEnd w:id="4"/>
      <w:bookmarkEnd w:id="5"/>
      <w:proofErr w:type="spellEnd"/>
    </w:p>
    <w:p w:rsidR="009A0C7F" w:rsidRPr="009A0C7F" w:rsidRDefault="009A0C7F" w:rsidP="003B4046">
      <w:pPr>
        <w:pStyle w:val="11"/>
        <w:keepNext/>
        <w:keepLines/>
        <w:tabs>
          <w:tab w:val="left" w:pos="1494"/>
        </w:tabs>
        <w:spacing w:after="0" w:line="240" w:lineRule="auto"/>
        <w:ind w:left="0"/>
        <w:jc w:val="left"/>
        <w:rPr>
          <w:sz w:val="28"/>
          <w:szCs w:val="28"/>
          <w:lang w:val="uk-UA"/>
        </w:rPr>
      </w:pPr>
    </w:p>
    <w:p w:rsidR="003B4046" w:rsidRPr="009A0C7F" w:rsidRDefault="003B4046" w:rsidP="003B4046">
      <w:pPr>
        <w:pStyle w:val="1"/>
        <w:ind w:firstLine="680"/>
        <w:jc w:val="both"/>
        <w:rPr>
          <w:sz w:val="28"/>
          <w:szCs w:val="28"/>
          <w:lang w:val="uk-UA"/>
        </w:rPr>
      </w:pPr>
      <w:r w:rsidRPr="009A0C7F">
        <w:rPr>
          <w:sz w:val="28"/>
          <w:szCs w:val="28"/>
          <w:lang w:val="uk-UA"/>
        </w:rPr>
        <w:t>Відповідно до статті 36-1 Закону України «Про місцеве самоврядування в Україні»,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території, а також розроблення та забезпечення реалізації регіональних, місцевих програм у цій сфері,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безпеки.</w:t>
      </w:r>
    </w:p>
    <w:p w:rsidR="003B4046" w:rsidRPr="00F60005" w:rsidRDefault="003B4046" w:rsidP="00F600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5">
        <w:rPr>
          <w:rFonts w:ascii="Times New Roman" w:hAnsi="Times New Roman" w:cs="Times New Roman"/>
          <w:sz w:val="28"/>
          <w:szCs w:val="28"/>
        </w:rPr>
        <w:t>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</w:t>
      </w:r>
      <w:r w:rsidR="003310E2">
        <w:rPr>
          <w:rFonts w:ascii="Times New Roman" w:hAnsi="Times New Roman" w:cs="Times New Roman"/>
          <w:sz w:val="28"/>
          <w:szCs w:val="28"/>
        </w:rPr>
        <w:t xml:space="preserve"> </w:t>
      </w:r>
      <w:r w:rsidRPr="00F60005">
        <w:rPr>
          <w:rFonts w:ascii="Times New Roman" w:hAnsi="Times New Roman" w:cs="Times New Roman"/>
          <w:sz w:val="28"/>
          <w:szCs w:val="28"/>
        </w:rPr>
        <w:t>характеру, в першу чергу попередження та гасіння пожеж.</w:t>
      </w:r>
    </w:p>
    <w:p w:rsidR="003B4046" w:rsidRPr="00623897" w:rsidRDefault="003B4046" w:rsidP="003B4046">
      <w:pPr>
        <w:pStyle w:val="1"/>
        <w:ind w:firstLine="680"/>
        <w:jc w:val="both"/>
        <w:rPr>
          <w:sz w:val="28"/>
          <w:szCs w:val="28"/>
          <w:lang w:val="uk-UA"/>
        </w:rPr>
      </w:pPr>
      <w:r w:rsidRPr="00623897">
        <w:rPr>
          <w:sz w:val="28"/>
          <w:szCs w:val="28"/>
          <w:lang w:val="uk-UA"/>
        </w:rPr>
        <w:t>Проведений аналіз останніх років свідчить, що ризик виникнення надзвичайних ситуацій на території Ананьївської міської територіальної громади (далі – Громада) залишається високим.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 </w:t>
      </w:r>
      <w:proofErr w:type="gramStart"/>
      <w:r>
        <w:rPr>
          <w:sz w:val="28"/>
          <w:szCs w:val="28"/>
        </w:rPr>
        <w:t>техногенного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ускладнюється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наявністю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Гідродинамічна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наявністю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Майновський</w:t>
      </w:r>
      <w:proofErr w:type="spellEnd"/>
      <w:r>
        <w:rPr>
          <w:sz w:val="28"/>
          <w:szCs w:val="28"/>
        </w:rPr>
        <w:t xml:space="preserve"> Яр. При </w:t>
      </w:r>
      <w:proofErr w:type="spellStart"/>
      <w:r>
        <w:rPr>
          <w:sz w:val="28"/>
          <w:szCs w:val="28"/>
        </w:rPr>
        <w:t>руйнуванні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греблі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Новогеоргіївському</w:t>
      </w:r>
      <w:proofErr w:type="spellEnd"/>
      <w:r>
        <w:rPr>
          <w:sz w:val="28"/>
          <w:szCs w:val="28"/>
        </w:rPr>
        <w:t xml:space="preserve"> ставку № 1 буде </w:t>
      </w:r>
      <w:proofErr w:type="spellStart"/>
      <w:r>
        <w:rPr>
          <w:sz w:val="28"/>
          <w:szCs w:val="28"/>
        </w:rPr>
        <w:t>знищено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гідротехнічні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призведе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Т 16-23 «Ананьїв - </w:t>
      </w:r>
      <w:proofErr w:type="spellStart"/>
      <w:r>
        <w:rPr>
          <w:sz w:val="28"/>
          <w:szCs w:val="28"/>
        </w:rPr>
        <w:t>Троїцьке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Березівка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Вікторівка</w:t>
      </w:r>
      <w:proofErr w:type="spellEnd"/>
      <w:r>
        <w:rPr>
          <w:sz w:val="28"/>
          <w:szCs w:val="28"/>
        </w:rPr>
        <w:t xml:space="preserve">» та в зону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Шелехове</w:t>
      </w:r>
      <w:proofErr w:type="spellEnd"/>
      <w:r>
        <w:rPr>
          <w:sz w:val="28"/>
          <w:szCs w:val="28"/>
        </w:rPr>
        <w:t xml:space="preserve"> та с. </w:t>
      </w:r>
      <w:proofErr w:type="spellStart"/>
      <w:r>
        <w:rPr>
          <w:sz w:val="28"/>
          <w:szCs w:val="28"/>
        </w:rPr>
        <w:t>Кохівка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швидкого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сніготанення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помешкань</w:t>
      </w:r>
      <w:proofErr w:type="spellEnd"/>
      <w:r>
        <w:rPr>
          <w:sz w:val="28"/>
          <w:szCs w:val="28"/>
        </w:rPr>
        <w:t xml:space="preserve"> в м. Ананьїв по </w:t>
      </w:r>
      <w:proofErr w:type="spellStart"/>
      <w:r>
        <w:rPr>
          <w:sz w:val="28"/>
          <w:szCs w:val="28"/>
        </w:rPr>
        <w:t>вулицях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Дворянська</w:t>
      </w:r>
      <w:proofErr w:type="spellEnd"/>
      <w:r>
        <w:rPr>
          <w:sz w:val="28"/>
          <w:szCs w:val="28"/>
        </w:rPr>
        <w:t xml:space="preserve">, Виноградова, </w:t>
      </w:r>
      <w:proofErr w:type="spellStart"/>
      <w:r>
        <w:rPr>
          <w:sz w:val="28"/>
          <w:szCs w:val="28"/>
        </w:rPr>
        <w:t>Єврейська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Пушкіна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Соборна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два роки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169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характеру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інтенсивності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попереджувальні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техногенного характеру та </w:t>
      </w:r>
      <w:proofErr w:type="spellStart"/>
      <w:r>
        <w:rPr>
          <w:sz w:val="28"/>
          <w:szCs w:val="28"/>
        </w:rPr>
        <w:t>адаптаційні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природного характеру,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Ліквідація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, катастроф, </w:t>
      </w:r>
      <w:proofErr w:type="spellStart"/>
      <w:r>
        <w:rPr>
          <w:sz w:val="28"/>
          <w:szCs w:val="28"/>
        </w:rPr>
        <w:t>стихійних</w:t>
      </w:r>
      <w:proofErr w:type="spellEnd"/>
      <w:r>
        <w:rPr>
          <w:sz w:val="28"/>
          <w:szCs w:val="28"/>
        </w:rPr>
        <w:t xml:space="preserve"> лих та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зусиль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особового</w:t>
      </w:r>
      <w:proofErr w:type="spellEnd"/>
      <w:r>
        <w:rPr>
          <w:sz w:val="28"/>
          <w:szCs w:val="28"/>
        </w:rPr>
        <w:t xml:space="preserve"> складу і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оперативно - </w:t>
      </w:r>
      <w:proofErr w:type="spellStart"/>
      <w:r>
        <w:rPr>
          <w:sz w:val="28"/>
          <w:szCs w:val="28"/>
        </w:rPr>
        <w:t>рятувальної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та сил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оснащення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. Вся </w:t>
      </w:r>
      <w:proofErr w:type="spellStart"/>
      <w:r>
        <w:rPr>
          <w:sz w:val="28"/>
          <w:szCs w:val="28"/>
        </w:rPr>
        <w:t>пожежно-рятувальна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spacing w:after="260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на 2022-2025 роки «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техногенної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викликана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події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стихійні</w:t>
      </w:r>
      <w:proofErr w:type="spellEnd"/>
      <w:r>
        <w:rPr>
          <w:sz w:val="28"/>
          <w:szCs w:val="28"/>
        </w:rPr>
        <w:t xml:space="preserve"> лиха та </w:t>
      </w:r>
      <w:proofErr w:type="spellStart"/>
      <w:r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>.</w:t>
      </w:r>
      <w:bookmarkStart w:id="6" w:name="bookmark7"/>
      <w:bookmarkStart w:id="7" w:name="bookmark5"/>
      <w:bookmarkStart w:id="8" w:name="bookmark6"/>
      <w:bookmarkStart w:id="9" w:name="bookmark8"/>
      <w:bookmarkEnd w:id="6"/>
    </w:p>
    <w:p w:rsidR="003B4046" w:rsidRPr="00F60005" w:rsidRDefault="003B4046" w:rsidP="00F60005">
      <w:pPr>
        <w:pStyle w:val="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мети </w:t>
      </w:r>
      <w:proofErr w:type="spellStart"/>
      <w:r>
        <w:rPr>
          <w:b/>
          <w:sz w:val="28"/>
          <w:szCs w:val="28"/>
        </w:rPr>
        <w:t>Програми</w:t>
      </w:r>
      <w:bookmarkEnd w:id="7"/>
      <w:bookmarkEnd w:id="8"/>
      <w:bookmarkEnd w:id="9"/>
      <w:proofErr w:type="spellEnd"/>
    </w:p>
    <w:p w:rsidR="00F60005" w:rsidRDefault="00F60005" w:rsidP="00F60005">
      <w:pPr>
        <w:pStyle w:val="1"/>
        <w:ind w:firstLine="0"/>
        <w:rPr>
          <w:b/>
          <w:sz w:val="28"/>
          <w:szCs w:val="28"/>
        </w:rPr>
      </w:pPr>
    </w:p>
    <w:p w:rsidR="003B4046" w:rsidRDefault="003B4046" w:rsidP="003B4046">
      <w:pPr>
        <w:pStyle w:val="1"/>
        <w:spacing w:line="252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характеру,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та майна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10 ДПРЧ 4 ДПРЗ-ГУ ДСНС України в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spacing w:line="252" w:lineRule="auto"/>
        <w:ind w:firstLine="680"/>
        <w:jc w:val="both"/>
        <w:rPr>
          <w:sz w:val="28"/>
          <w:szCs w:val="28"/>
        </w:rPr>
      </w:pPr>
    </w:p>
    <w:p w:rsidR="003B4046" w:rsidRDefault="003B4046" w:rsidP="00F60005">
      <w:pPr>
        <w:pStyle w:val="a3"/>
        <w:numPr>
          <w:ilvl w:val="0"/>
          <w:numId w:val="2"/>
        </w:numPr>
        <w:ind w:left="720" w:right="3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10" w:name="bookmark11"/>
      <w:bookmarkStart w:id="11" w:name="bookmark10"/>
      <w:bookmarkStart w:id="12" w:name="bookmark12"/>
      <w:bookmarkStart w:id="13" w:name="bookmark9"/>
      <w:bookmarkEnd w:id="10"/>
      <w:bookmarkEnd w:id="11"/>
      <w:bookmarkEnd w:id="12"/>
      <w:bookmarkEnd w:id="13"/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шляхів і засобів розв’язання проблеми, обсягів та джерел фінансування; строки та етапи виконання Програми</w:t>
      </w:r>
    </w:p>
    <w:p w:rsidR="00F60005" w:rsidRPr="00F60005" w:rsidRDefault="00F60005" w:rsidP="00F60005">
      <w:pPr>
        <w:ind w:right="3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  <w:lang w:eastAsia="uk-UA"/>
        </w:rPr>
      </w:pPr>
      <w:r w:rsidRPr="003B4046">
        <w:rPr>
          <w:sz w:val="28"/>
          <w:szCs w:val="28"/>
          <w:lang w:val="uk-UA"/>
        </w:rPr>
        <w:t xml:space="preserve">Комплекс запланованих заходів забезпечить вирішення найгостріших проблемних питань у сфері цивільного захисту, техногенної та пожежної безпеки, що існують в Ананьївській міській територіальній громаді на теперішній час. У рамках Програми передбачається здійснити ряд заходів, які обґрунтують вибір оптимального розв’язання проблемних питань забезпечення техногенної та пожежної безпеки, запобігання і ліквідації надзвичайних ситуацій та заходів підвищення рівня цивільного захисту населення. Зменшення ризику виникнення надзвичайних ситуацій, недопущення загибелі і травмування людей під час надзвичайних ситуацій (подій) можливо шляхом підвищення рівня готовності сил цивільного захисту, вжиття комплексу попереджувальних заходів щодо запобігання виникненню надзвичайних ситуацій, а також обізнаності населення щодо дій у разі їх виникнення.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цією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>:</w:t>
      </w:r>
    </w:p>
    <w:p w:rsidR="003B4046" w:rsidRDefault="003B4046" w:rsidP="003B4046">
      <w:pPr>
        <w:pStyle w:val="1"/>
        <w:numPr>
          <w:ilvl w:val="0"/>
          <w:numId w:val="5"/>
        </w:numPr>
        <w:tabs>
          <w:tab w:val="left" w:pos="895"/>
        </w:tabs>
        <w:ind w:firstLine="680"/>
        <w:jc w:val="both"/>
        <w:rPr>
          <w:sz w:val="28"/>
          <w:szCs w:val="28"/>
        </w:rPr>
      </w:pPr>
      <w:bookmarkStart w:id="14" w:name="bookmark13"/>
      <w:bookmarkEnd w:id="14"/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10 ДПРЧ 4 ДПРЗ ГУ ДСНС України в </w:t>
      </w:r>
      <w:proofErr w:type="spellStart"/>
      <w:r>
        <w:rPr>
          <w:sz w:val="28"/>
          <w:szCs w:val="28"/>
        </w:rPr>
        <w:t>Одеській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lastRenderedPageBreak/>
        <w:t>гасіння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>;</w:t>
      </w:r>
    </w:p>
    <w:p w:rsidR="003B4046" w:rsidRDefault="003B4046" w:rsidP="003B4046">
      <w:pPr>
        <w:pStyle w:val="1"/>
        <w:numPr>
          <w:ilvl w:val="0"/>
          <w:numId w:val="5"/>
        </w:numPr>
        <w:tabs>
          <w:tab w:val="left" w:pos="890"/>
        </w:tabs>
        <w:ind w:firstLine="680"/>
        <w:jc w:val="both"/>
        <w:rPr>
          <w:sz w:val="28"/>
          <w:szCs w:val="28"/>
        </w:rPr>
      </w:pPr>
      <w:bookmarkStart w:id="15" w:name="bookmark14"/>
      <w:bookmarkEnd w:id="15"/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3B4046" w:rsidRDefault="003B4046" w:rsidP="003B4046">
      <w:pPr>
        <w:pStyle w:val="1"/>
        <w:numPr>
          <w:ilvl w:val="0"/>
          <w:numId w:val="5"/>
        </w:numPr>
        <w:tabs>
          <w:tab w:val="left" w:pos="900"/>
        </w:tabs>
        <w:ind w:firstLine="680"/>
        <w:jc w:val="both"/>
        <w:rPr>
          <w:sz w:val="28"/>
          <w:szCs w:val="28"/>
        </w:rPr>
      </w:pPr>
      <w:bookmarkStart w:id="16" w:name="bookmark15"/>
      <w:bookmarkStart w:id="17" w:name="bookmark16"/>
      <w:bookmarkEnd w:id="16"/>
      <w:bookmarkEnd w:id="17"/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3B4046" w:rsidRDefault="003B4046" w:rsidP="003B4046">
      <w:pPr>
        <w:pStyle w:val="1"/>
        <w:numPr>
          <w:ilvl w:val="0"/>
          <w:numId w:val="5"/>
        </w:numPr>
        <w:tabs>
          <w:tab w:val="left" w:pos="900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бюджету</w:t>
      </w:r>
      <w:proofErr w:type="gramEnd"/>
      <w:r>
        <w:rPr>
          <w:sz w:val="28"/>
          <w:szCs w:val="28"/>
        </w:rPr>
        <w:t xml:space="preserve"> Ананьївської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– 2022-2025 роки.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Ресурсне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наведено у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1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Орієнтовний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</w:t>
      </w:r>
      <w:r w:rsidR="009A0C7F">
        <w:rPr>
          <w:sz w:val="28"/>
          <w:szCs w:val="28"/>
        </w:rPr>
        <w:t>ання</w:t>
      </w:r>
      <w:proofErr w:type="spellEnd"/>
      <w:r w:rsidR="009A0C7F">
        <w:rPr>
          <w:sz w:val="28"/>
          <w:szCs w:val="28"/>
        </w:rPr>
        <w:t xml:space="preserve"> </w:t>
      </w:r>
      <w:proofErr w:type="spellStart"/>
      <w:r w:rsidR="009A0C7F">
        <w:rPr>
          <w:sz w:val="28"/>
          <w:szCs w:val="28"/>
        </w:rPr>
        <w:t>заходів</w:t>
      </w:r>
      <w:proofErr w:type="spellEnd"/>
      <w:r w:rsidR="009A0C7F">
        <w:rPr>
          <w:sz w:val="28"/>
          <w:szCs w:val="28"/>
        </w:rPr>
        <w:t xml:space="preserve"> </w:t>
      </w:r>
      <w:proofErr w:type="spellStart"/>
      <w:r w:rsidR="009A0C7F">
        <w:rPr>
          <w:sz w:val="28"/>
          <w:szCs w:val="28"/>
        </w:rPr>
        <w:t>Програми</w:t>
      </w:r>
      <w:proofErr w:type="spellEnd"/>
      <w:r w:rsidR="009A0C7F">
        <w:rPr>
          <w:sz w:val="28"/>
          <w:szCs w:val="28"/>
        </w:rPr>
        <w:t xml:space="preserve">  </w:t>
      </w:r>
      <w:proofErr w:type="spellStart"/>
      <w:r w:rsidR="009A0C7F">
        <w:rPr>
          <w:sz w:val="28"/>
          <w:szCs w:val="28"/>
        </w:rPr>
        <w:t>складає</w:t>
      </w:r>
      <w:proofErr w:type="spellEnd"/>
      <w:r w:rsidR="009A0C7F">
        <w:rPr>
          <w:sz w:val="28"/>
          <w:szCs w:val="28"/>
        </w:rPr>
        <w:t xml:space="preserve"> </w:t>
      </w:r>
      <w:r w:rsidR="009A0C7F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074,0 тис. грн. та </w:t>
      </w:r>
      <w:proofErr w:type="spellStart"/>
      <w:r>
        <w:rPr>
          <w:sz w:val="28"/>
          <w:szCs w:val="28"/>
        </w:rPr>
        <w:t>уточнюється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наявного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ресурсу.</w:t>
      </w:r>
    </w:p>
    <w:p w:rsidR="003B4046" w:rsidRDefault="003B4046" w:rsidP="003B4046">
      <w:pPr>
        <w:pStyle w:val="1"/>
        <w:ind w:firstLine="680"/>
        <w:jc w:val="both"/>
        <w:rPr>
          <w:sz w:val="28"/>
          <w:szCs w:val="28"/>
        </w:rPr>
      </w:pPr>
    </w:p>
    <w:p w:rsidR="003B4046" w:rsidRPr="00F60005" w:rsidRDefault="003B4046" w:rsidP="00F60005">
      <w:pPr>
        <w:pStyle w:val="1"/>
        <w:numPr>
          <w:ilvl w:val="0"/>
          <w:numId w:val="2"/>
        </w:numPr>
        <w:ind w:left="720"/>
        <w:jc w:val="center"/>
        <w:rPr>
          <w:sz w:val="28"/>
          <w:szCs w:val="28"/>
        </w:rPr>
      </w:pPr>
      <w:bookmarkStart w:id="18" w:name="bookmark19"/>
      <w:bookmarkEnd w:id="18"/>
      <w:proofErr w:type="gramStart"/>
      <w:r>
        <w:rPr>
          <w:b/>
          <w:bCs/>
          <w:sz w:val="28"/>
          <w:szCs w:val="28"/>
        </w:rPr>
        <w:t>Напрямки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діяльності</w:t>
      </w:r>
      <w:proofErr w:type="spellEnd"/>
      <w:r>
        <w:rPr>
          <w:b/>
          <w:bCs/>
          <w:sz w:val="28"/>
          <w:szCs w:val="28"/>
        </w:rPr>
        <w:t xml:space="preserve"> та заходи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</w:p>
    <w:p w:rsidR="00F60005" w:rsidRDefault="00F60005" w:rsidP="00F60005">
      <w:pPr>
        <w:pStyle w:val="1"/>
        <w:ind w:left="720" w:firstLine="0"/>
        <w:rPr>
          <w:sz w:val="28"/>
          <w:szCs w:val="28"/>
        </w:rPr>
      </w:pPr>
    </w:p>
    <w:p w:rsidR="003B4046" w:rsidRDefault="003B4046" w:rsidP="003B4046">
      <w:pPr>
        <w:pStyle w:val="1"/>
        <w:ind w:firstLine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характеру,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та майна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10 ДПРЧ 4 ДПРЗ ГУ ДСНС України в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заходи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наведен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bookmarkStart w:id="19" w:name="bookmark35"/>
      <w:bookmarkEnd w:id="19"/>
    </w:p>
    <w:p w:rsidR="003B4046" w:rsidRDefault="003B4046" w:rsidP="00F60005">
      <w:pPr>
        <w:pStyle w:val="a3"/>
        <w:widowControl/>
        <w:numPr>
          <w:ilvl w:val="0"/>
          <w:numId w:val="2"/>
        </w:numPr>
        <w:tabs>
          <w:tab w:val="left" w:pos="0"/>
        </w:tabs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Очікувані результати та ефективність Програми</w:t>
      </w:r>
    </w:p>
    <w:p w:rsidR="00F60005" w:rsidRDefault="00F60005" w:rsidP="00F60005">
      <w:pPr>
        <w:pStyle w:val="a3"/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дозволить: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оперативного та комплексного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ічний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;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рятування</w:t>
      </w:r>
      <w:proofErr w:type="spellEnd"/>
      <w:r>
        <w:rPr>
          <w:sz w:val="28"/>
          <w:szCs w:val="28"/>
        </w:rPr>
        <w:t xml:space="preserve"> людей, </w:t>
      </w:r>
      <w:proofErr w:type="spellStart"/>
      <w:r>
        <w:rPr>
          <w:sz w:val="28"/>
          <w:szCs w:val="28"/>
        </w:rPr>
        <w:t>гасіння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мінімізувати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нещасних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вибухонебезпечними</w:t>
      </w:r>
      <w:proofErr w:type="spellEnd"/>
      <w:r>
        <w:rPr>
          <w:sz w:val="28"/>
          <w:szCs w:val="28"/>
        </w:rPr>
        <w:t xml:space="preserve"> предметами;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обізнаності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правилам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діям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правилам здорового способу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прозорість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вільний</w:t>
      </w:r>
      <w:proofErr w:type="spellEnd"/>
      <w:r>
        <w:rPr>
          <w:sz w:val="28"/>
          <w:szCs w:val="28"/>
        </w:rPr>
        <w:t xml:space="preserve"> доступ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загрожують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безпеці</w:t>
      </w:r>
      <w:proofErr w:type="spellEnd"/>
      <w:r>
        <w:rPr>
          <w:sz w:val="28"/>
          <w:szCs w:val="28"/>
        </w:rPr>
        <w:t xml:space="preserve"> людей; </w:t>
      </w:r>
    </w:p>
    <w:p w:rsidR="003B4046" w:rsidRDefault="003B4046" w:rsidP="003B4046">
      <w:pPr>
        <w:pStyle w:val="1"/>
        <w:ind w:firstLine="740"/>
        <w:jc w:val="both"/>
        <w:rPr>
          <w:sz w:val="28"/>
          <w:szCs w:val="28"/>
        </w:rPr>
      </w:pPr>
    </w:p>
    <w:p w:rsidR="003B4046" w:rsidRPr="00F60005" w:rsidRDefault="003B4046" w:rsidP="00F60005">
      <w:pPr>
        <w:pStyle w:val="a3"/>
        <w:widowControl/>
        <w:numPr>
          <w:ilvl w:val="0"/>
          <w:numId w:val="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600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Координація та контроль за ходом виконання Програми</w:t>
      </w:r>
    </w:p>
    <w:p w:rsidR="00F60005" w:rsidRDefault="00F60005" w:rsidP="003B4046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B4046" w:rsidRDefault="003B4046" w:rsidP="003B4046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Програми. </w:t>
      </w:r>
    </w:p>
    <w:p w:rsidR="003B4046" w:rsidRDefault="003B4046" w:rsidP="003B4046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Сектор з питань надзвичайних ситуацій,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3B4046" w:rsidRPr="003B4046" w:rsidRDefault="003B4046" w:rsidP="003B4046">
      <w:pPr>
        <w:pStyle w:val="1"/>
        <w:ind w:firstLine="740"/>
        <w:jc w:val="both"/>
        <w:rPr>
          <w:sz w:val="28"/>
          <w:szCs w:val="28"/>
          <w:lang w:val="uk-UA"/>
        </w:rPr>
      </w:pPr>
      <w:r w:rsidRPr="003B4046">
        <w:rPr>
          <w:sz w:val="28"/>
          <w:szCs w:val="28"/>
          <w:lang w:val="uk-UA"/>
        </w:rPr>
        <w:t>Після закінчення встановленого строку</w:t>
      </w:r>
      <w:r w:rsidRPr="003B4046">
        <w:rPr>
          <w:lang w:val="uk-UA"/>
        </w:rPr>
        <w:t xml:space="preserve"> </w:t>
      </w:r>
      <w:r w:rsidRPr="003B4046">
        <w:rPr>
          <w:sz w:val="28"/>
          <w:szCs w:val="28"/>
          <w:lang w:val="uk-UA"/>
        </w:rPr>
        <w:t>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3B4046">
        <w:rPr>
          <w:sz w:val="28"/>
          <w:szCs w:val="28"/>
          <w:lang w:val="uk-UA"/>
        </w:rPr>
        <w:tab/>
      </w:r>
    </w:p>
    <w:p w:rsidR="003B4046" w:rsidRPr="003B4046" w:rsidRDefault="003B4046" w:rsidP="003B4046">
      <w:pPr>
        <w:pStyle w:val="1"/>
        <w:ind w:firstLine="740"/>
        <w:jc w:val="both"/>
        <w:rPr>
          <w:sz w:val="28"/>
          <w:szCs w:val="28"/>
          <w:lang w:val="uk-UA"/>
        </w:rPr>
      </w:pPr>
      <w:r w:rsidRPr="003B4046">
        <w:rPr>
          <w:sz w:val="28"/>
          <w:szCs w:val="28"/>
          <w:lang w:val="uk-UA"/>
        </w:rPr>
        <w:t>Поточний контроль за ходом реалізації Програми, здійснює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B4046" w:rsidRDefault="003B4046" w:rsidP="003B4046">
      <w:pPr>
        <w:rPr>
          <w:b/>
          <w:bCs/>
          <w:sz w:val="28"/>
          <w:szCs w:val="28"/>
        </w:rPr>
      </w:pPr>
      <w:bookmarkStart w:id="20" w:name="bookmark37"/>
      <w:bookmarkEnd w:id="20"/>
    </w:p>
    <w:p w:rsidR="003B4046" w:rsidRDefault="003B4046" w:rsidP="00F6000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 w:type="page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Додаток 1</w:t>
      </w:r>
    </w:p>
    <w:p w:rsidR="003B4046" w:rsidRDefault="003B4046" w:rsidP="003B4046">
      <w:pPr>
        <w:widowControl/>
        <w:spacing w:after="20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ru-RU" w:bidi="ar-SA"/>
        </w:rPr>
      </w:pPr>
    </w:p>
    <w:p w:rsidR="00F60005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Ресурсне забезпечення міської цільової програми </w:t>
      </w:r>
    </w:p>
    <w:p w:rsidR="003B4046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Анан</w:t>
      </w:r>
      <w:r w:rsidR="00F6000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ївської міської ради на 2022-2025 роки </w:t>
      </w:r>
    </w:p>
    <w:p w:rsidR="003B4046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«Розвиток цивільного захисту, техногенної та пожежної безпеки»</w:t>
      </w:r>
    </w:p>
    <w:p w:rsidR="003B4046" w:rsidRDefault="003B4046" w:rsidP="003B4046">
      <w:pPr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025"/>
        <w:gridCol w:w="1085"/>
        <w:gridCol w:w="986"/>
        <w:gridCol w:w="1265"/>
        <w:gridCol w:w="2104"/>
      </w:tblGrid>
      <w:tr w:rsidR="003B4046" w:rsidTr="003B4046">
        <w:trPr>
          <w:trHeight w:val="63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Усього витрат на виконання програми (тис. грн.)</w:t>
            </w:r>
          </w:p>
        </w:tc>
      </w:tr>
      <w:tr w:rsidR="003B4046" w:rsidTr="003B4046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Усього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E422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5</w:t>
            </w:r>
            <w:r w:rsidR="003B4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938,0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1112,0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1012,0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9A0C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8</w:t>
            </w:r>
            <w:r w:rsidR="003B4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074,0</w:t>
            </w:r>
          </w:p>
        </w:tc>
      </w:tr>
      <w:tr w:rsidR="003B4046" w:rsidTr="003B4046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територіальної громади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E422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5</w:t>
            </w:r>
            <w:r w:rsidR="003B4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938,0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1112,0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1012,0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E422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8</w:t>
            </w:r>
            <w:r w:rsidR="003B4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074,0</w:t>
            </w:r>
          </w:p>
        </w:tc>
      </w:tr>
    </w:tbl>
    <w:p w:rsidR="003B4046" w:rsidRDefault="003B4046" w:rsidP="003B4046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val="ru-RU" w:bidi="ar-SA"/>
        </w:rPr>
      </w:pPr>
    </w:p>
    <w:p w:rsidR="003B4046" w:rsidRDefault="003B4046" w:rsidP="003B4046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3B4046" w:rsidRDefault="003B4046" w:rsidP="003B404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3B4046" w:rsidSect="00F60005">
          <w:pgSz w:w="11900" w:h="16840"/>
          <w:pgMar w:top="851" w:right="851" w:bottom="1134" w:left="1701" w:header="1434" w:footer="247" w:gutter="0"/>
          <w:cols w:space="720"/>
        </w:sectPr>
      </w:pPr>
    </w:p>
    <w:p w:rsidR="003B4046" w:rsidRDefault="003B4046" w:rsidP="00F60005">
      <w:pPr>
        <w:widowControl/>
        <w:ind w:left="9204"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Додаток 2</w:t>
      </w:r>
    </w:p>
    <w:p w:rsidR="003B4046" w:rsidRDefault="003B4046" w:rsidP="003B4046">
      <w:pPr>
        <w:widowControl/>
        <w:ind w:left="4962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ru-RU" w:bidi="ar-SA"/>
        </w:rPr>
      </w:pPr>
    </w:p>
    <w:p w:rsidR="003B4046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Перелік заходів і завдань міської цільової програми Ананьївської міської ради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2022-2025 роки </w:t>
      </w:r>
    </w:p>
    <w:p w:rsidR="003B4046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Розвиток цивільного захисту, техногенної та пожежної безпеки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3B4046" w:rsidRDefault="003B4046" w:rsidP="003B40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985"/>
        <w:gridCol w:w="1417"/>
        <w:gridCol w:w="1985"/>
        <w:gridCol w:w="1701"/>
        <w:gridCol w:w="992"/>
        <w:gridCol w:w="992"/>
        <w:gridCol w:w="993"/>
        <w:gridCol w:w="850"/>
        <w:gridCol w:w="851"/>
        <w:gridCol w:w="1559"/>
      </w:tblGrid>
      <w:tr w:rsidR="003B4046" w:rsidTr="003B4046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№</w:t>
            </w:r>
          </w:p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Назва напрямку діяльності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Строк виконання</w:t>
            </w:r>
          </w:p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Джерела фінансування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Орієнтовні обсяги фінансування,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Очікуваний</w:t>
            </w:r>
          </w:p>
          <w:p w:rsidR="003B4046" w:rsidRDefault="003B404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результат</w:t>
            </w:r>
          </w:p>
        </w:tc>
      </w:tr>
      <w:tr w:rsidR="003B4046" w:rsidTr="003B4046">
        <w:trPr>
          <w:trHeight w:val="4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4046" w:rsidTr="003B4046">
        <w:trPr>
          <w:trHeight w:val="21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 w:rsidP="00F60005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утримання</w:t>
            </w:r>
            <w:proofErr w:type="spellEnd"/>
            <w:r>
              <w:rPr>
                <w:sz w:val="20"/>
                <w:szCs w:val="20"/>
              </w:rPr>
              <w:t xml:space="preserve"> фонду </w:t>
            </w:r>
            <w:proofErr w:type="spellStart"/>
            <w:r>
              <w:rPr>
                <w:sz w:val="20"/>
                <w:szCs w:val="20"/>
              </w:rPr>
              <w:t>захисних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готовності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використання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призначенням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88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інвентаризації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комунальної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  <w:r>
              <w:rPr>
                <w:sz w:val="20"/>
                <w:szCs w:val="20"/>
              </w:rPr>
              <w:t xml:space="preserve"> як </w:t>
            </w:r>
            <w:proofErr w:type="spellStart"/>
            <w:r>
              <w:rPr>
                <w:sz w:val="20"/>
                <w:szCs w:val="20"/>
              </w:rPr>
              <w:t>об’єктів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Балансоутримувачі захисних споруд цивільного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</w:t>
            </w:r>
            <w:proofErr w:type="gramEnd"/>
            <w:r>
              <w:rPr>
                <w:sz w:val="20"/>
                <w:szCs w:val="20"/>
              </w:rPr>
              <w:t>ічного</w:t>
            </w:r>
            <w:proofErr w:type="spellEnd"/>
            <w:r>
              <w:rPr>
                <w:sz w:val="20"/>
                <w:szCs w:val="20"/>
              </w:rPr>
              <w:t xml:space="preserve"> стану </w:t>
            </w:r>
            <w:proofErr w:type="spellStart"/>
            <w:r>
              <w:rPr>
                <w:sz w:val="20"/>
                <w:szCs w:val="20"/>
              </w:rPr>
              <w:t>захисних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готовність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населення</w:t>
            </w:r>
            <w:proofErr w:type="spellEnd"/>
          </w:p>
        </w:tc>
      </w:tr>
      <w:tr w:rsidR="003B4046" w:rsidTr="003B4046">
        <w:trPr>
          <w:trHeight w:val="1845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захисних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after="0" w:line="240" w:lineRule="auto"/>
              <w:ind w:left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Балансоутримувачі захисних споруд цивільного захисту</w:t>
            </w:r>
            <w:r>
              <w:t xml:space="preserve"> </w:t>
            </w:r>
          </w:p>
          <w:p w:rsidR="003B4046" w:rsidRDefault="003B404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3B4046" w:rsidRDefault="003B404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Ананьївської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C9790C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3B4046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C9790C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3B4046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B4046" w:rsidTr="003B4046">
        <w:trPr>
          <w:trHeight w:val="44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88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облаштування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after="0" w:line="240" w:lineRule="auto"/>
              <w:ind w:left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Балансоутримувачі захисних споруд цивільного захисту</w:t>
            </w:r>
            <w:r>
              <w:t xml:space="preserve"> </w:t>
            </w:r>
          </w:p>
          <w:p w:rsidR="003B4046" w:rsidRDefault="003B404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3B4046" w:rsidRDefault="003B404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Ананьївської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6" w:rsidRDefault="003B40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B4046" w:rsidTr="003B404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 w:rsidP="00F60005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P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  <w:lang w:val="uk-UA"/>
              </w:rPr>
            </w:pPr>
            <w:r w:rsidRPr="003B4046">
              <w:rPr>
                <w:sz w:val="20"/>
                <w:szCs w:val="20"/>
                <w:lang w:val="uk-UA"/>
              </w:rPr>
              <w:t>Для забезпечення діяльності, функціонування , боєздатності 10 ДПРЧ 4 ДПРЗ ГУ ДСНС України в Одеській області та належного реагування на надзвичайні ситуації та події, гасіння пожеж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Закупівля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паливно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мастильних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матер</w:t>
            </w:r>
            <w:proofErr w:type="gramEnd"/>
            <w:r>
              <w:rPr>
                <w:sz w:val="20"/>
                <w:szCs w:val="20"/>
              </w:rPr>
              <w:t>іалів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рукава </w:t>
            </w:r>
            <w:proofErr w:type="spellStart"/>
            <w:r>
              <w:rPr>
                <w:sz w:val="20"/>
                <w:szCs w:val="20"/>
              </w:rPr>
              <w:t>всмоктуючи</w:t>
            </w:r>
            <w:proofErr w:type="spellEnd"/>
            <w:r>
              <w:rPr>
                <w:sz w:val="20"/>
                <w:szCs w:val="20"/>
              </w:rPr>
              <w:t xml:space="preserve"> 125 мм</w:t>
            </w:r>
          </w:p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комбінований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бензиновий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інструмент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MDC</w:t>
            </w:r>
            <w:r>
              <w:rPr>
                <w:sz w:val="20"/>
                <w:szCs w:val="20"/>
              </w:rPr>
              <w:t xml:space="preserve"> 300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ДПРЗ ГУ ДСНС України в Одеської області </w:t>
            </w:r>
          </w:p>
          <w:p w:rsidR="003B4046" w:rsidRDefault="003B4046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Фінансове управління Ананьївської міської ради ( в частині міжбюджетних трансфертів),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right="1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ідвищення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боєготовності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дій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призначенням</w:t>
            </w:r>
            <w:proofErr w:type="spellEnd"/>
            <w:r>
              <w:rPr>
                <w:sz w:val="20"/>
                <w:szCs w:val="20"/>
              </w:rPr>
              <w:t xml:space="preserve"> 10 ДПРЧ 4 ДПРЗ ГУ ДСНС України в </w:t>
            </w:r>
            <w:proofErr w:type="spellStart"/>
            <w:r>
              <w:rPr>
                <w:sz w:val="20"/>
                <w:szCs w:val="20"/>
              </w:rPr>
              <w:t>Одеській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області</w:t>
            </w:r>
            <w:proofErr w:type="spellEnd"/>
          </w:p>
        </w:tc>
      </w:tr>
      <w:tr w:rsidR="003B4046" w:rsidTr="003B4046">
        <w:trPr>
          <w:trHeight w:val="3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 w:rsidP="00F60005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88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навчання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надзвичайних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ситуаціях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88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інформаційно-довідкових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куточків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консультаційних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пунктів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цивільного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непрацюючим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інформаційно-просвітницької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роботи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поведінки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умовах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надзвичайних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ситуацій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6" w:rsidRDefault="003B4046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Ананьївська міська рада,</w:t>
            </w:r>
          </w:p>
          <w:p w:rsidR="003B4046" w:rsidRDefault="003B4046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right="1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right="1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ind w:right="1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Навчити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яке</w:t>
            </w:r>
            <w:proofErr w:type="gram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зайняте</w:t>
            </w:r>
            <w:proofErr w:type="spellEnd"/>
            <w:r>
              <w:rPr>
                <w:sz w:val="20"/>
                <w:szCs w:val="20"/>
              </w:rPr>
              <w:t xml:space="preserve"> у сферах </w:t>
            </w:r>
            <w:proofErr w:type="spellStart"/>
            <w:r>
              <w:rPr>
                <w:sz w:val="20"/>
                <w:szCs w:val="20"/>
              </w:rPr>
              <w:t>виробництва</w:t>
            </w:r>
            <w:proofErr w:type="spellEnd"/>
            <w:r>
              <w:rPr>
                <w:sz w:val="20"/>
                <w:szCs w:val="20"/>
              </w:rPr>
              <w:t xml:space="preserve"> га </w:t>
            </w:r>
            <w:proofErr w:type="spellStart"/>
            <w:r>
              <w:rPr>
                <w:sz w:val="20"/>
                <w:szCs w:val="20"/>
              </w:rPr>
              <w:t>обслуговуван</w:t>
            </w:r>
            <w:r>
              <w:rPr>
                <w:sz w:val="20"/>
                <w:szCs w:val="20"/>
              </w:rPr>
              <w:softHyphen/>
              <w:t>ня</w:t>
            </w:r>
            <w:proofErr w:type="spellEnd"/>
            <w:r>
              <w:rPr>
                <w:sz w:val="20"/>
                <w:szCs w:val="20"/>
              </w:rPr>
              <w:t xml:space="preserve"> способам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та правилам </w:t>
            </w:r>
            <w:proofErr w:type="spellStart"/>
            <w:r>
              <w:rPr>
                <w:sz w:val="20"/>
                <w:szCs w:val="20"/>
              </w:rPr>
              <w:t>поводження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надзвичайних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ситуаціях</w:t>
            </w:r>
            <w:proofErr w:type="spellEnd"/>
          </w:p>
        </w:tc>
      </w:tr>
      <w:tr w:rsidR="003B4046" w:rsidTr="003B4046">
        <w:trPr>
          <w:trHeight w:val="4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C9790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8</w:t>
            </w:r>
            <w:r w:rsidR="003B404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C9790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5</w:t>
            </w:r>
            <w:r w:rsidR="003B404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938,0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1112,0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1012,0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6" w:rsidRDefault="003B4046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:rsidR="003B4046" w:rsidRDefault="003B4046" w:rsidP="003B4046">
      <w:pPr>
        <w:spacing w:line="1" w:lineRule="exact"/>
        <w:rPr>
          <w:rFonts w:ascii="Times New Roman" w:hAnsi="Times New Roman" w:cs="Times New Roman"/>
        </w:rPr>
      </w:pPr>
    </w:p>
    <w:p w:rsidR="003B4046" w:rsidRDefault="003B4046" w:rsidP="003B4046">
      <w:pPr>
        <w:widowControl/>
        <w:rPr>
          <w:rFonts w:ascii="Times New Roman" w:hAnsi="Times New Roman" w:cs="Times New Roman"/>
        </w:rPr>
        <w:sectPr w:rsidR="003B4046">
          <w:pgSz w:w="16840" w:h="11900" w:orient="landscape"/>
          <w:pgMar w:top="624" w:right="1134" w:bottom="567" w:left="1134" w:header="1435" w:footer="249" w:gutter="0"/>
          <w:cols w:space="720"/>
        </w:sectPr>
      </w:pPr>
      <w:r>
        <w:rPr>
          <w:rFonts w:ascii="Times New Roman" w:hAnsi="Times New Roman" w:cs="Times New Roman"/>
        </w:rPr>
        <w:br w:type="page"/>
      </w:r>
    </w:p>
    <w:p w:rsidR="003B4046" w:rsidRDefault="003B4046" w:rsidP="003B4046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CC155F" w:rsidRDefault="00CC155F" w:rsidP="003B4046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155F" w:rsidSect="003B4046">
      <w:pgSz w:w="11900" w:h="16840"/>
      <w:pgMar w:top="1134" w:right="851" w:bottom="1134" w:left="1701" w:header="1434" w:footer="2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8F4"/>
    <w:multiLevelType w:val="hybridMultilevel"/>
    <w:tmpl w:val="CEF06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BC8"/>
    <w:multiLevelType w:val="hybridMultilevel"/>
    <w:tmpl w:val="33186BD0"/>
    <w:lvl w:ilvl="0" w:tplc="9140AA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0DB2"/>
    <w:multiLevelType w:val="hybridMultilevel"/>
    <w:tmpl w:val="7804C2E0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CF1A85"/>
    <w:multiLevelType w:val="multilevel"/>
    <w:tmpl w:val="4246D6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8E831CD"/>
    <w:multiLevelType w:val="hybridMultilevel"/>
    <w:tmpl w:val="DBC01594"/>
    <w:lvl w:ilvl="0" w:tplc="4216B4A4">
      <w:start w:val="4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  <w:color w:val="000000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87"/>
    <w:rsid w:val="000D5D39"/>
    <w:rsid w:val="00116F7D"/>
    <w:rsid w:val="00194F3C"/>
    <w:rsid w:val="001D4E76"/>
    <w:rsid w:val="00211B40"/>
    <w:rsid w:val="002A3C9D"/>
    <w:rsid w:val="002A76FC"/>
    <w:rsid w:val="002D6466"/>
    <w:rsid w:val="003310E2"/>
    <w:rsid w:val="003B4046"/>
    <w:rsid w:val="004061B4"/>
    <w:rsid w:val="00461C67"/>
    <w:rsid w:val="0054193E"/>
    <w:rsid w:val="005A75C8"/>
    <w:rsid w:val="005D2387"/>
    <w:rsid w:val="00623897"/>
    <w:rsid w:val="0066271C"/>
    <w:rsid w:val="0067601C"/>
    <w:rsid w:val="00740578"/>
    <w:rsid w:val="007A45A0"/>
    <w:rsid w:val="008B1EFA"/>
    <w:rsid w:val="008C1678"/>
    <w:rsid w:val="008D03DC"/>
    <w:rsid w:val="009A0C7F"/>
    <w:rsid w:val="00AE5BE4"/>
    <w:rsid w:val="00B26B32"/>
    <w:rsid w:val="00C9790C"/>
    <w:rsid w:val="00CC155F"/>
    <w:rsid w:val="00DD116D"/>
    <w:rsid w:val="00E4221D"/>
    <w:rsid w:val="00E87D92"/>
    <w:rsid w:val="00EA29A8"/>
    <w:rsid w:val="00EF2C07"/>
    <w:rsid w:val="00EF37A6"/>
    <w:rsid w:val="00F60005"/>
    <w:rsid w:val="00F65D41"/>
    <w:rsid w:val="00F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00"/>
    <w:pPr>
      <w:ind w:left="720"/>
      <w:contextualSpacing/>
    </w:pPr>
  </w:style>
  <w:style w:type="character" w:customStyle="1" w:styleId="a4">
    <w:name w:val="Основной текст_"/>
    <w:link w:val="1"/>
    <w:locked/>
    <w:rsid w:val="00F85B00"/>
    <w:rPr>
      <w:sz w:val="22"/>
      <w:szCs w:val="22"/>
    </w:rPr>
  </w:style>
  <w:style w:type="paragraph" w:customStyle="1" w:styleId="1">
    <w:name w:val="Основной текст1"/>
    <w:basedOn w:val="a"/>
    <w:link w:val="a4"/>
    <w:rsid w:val="00F85B0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character" w:customStyle="1" w:styleId="a5">
    <w:name w:val="Другое_"/>
    <w:link w:val="a6"/>
    <w:locked/>
    <w:rsid w:val="00F85B00"/>
    <w:rPr>
      <w:sz w:val="22"/>
      <w:szCs w:val="22"/>
    </w:rPr>
  </w:style>
  <w:style w:type="paragraph" w:customStyle="1" w:styleId="a6">
    <w:name w:val="Другое"/>
    <w:basedOn w:val="a"/>
    <w:link w:val="a5"/>
    <w:rsid w:val="00F85B0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character" w:customStyle="1" w:styleId="10">
    <w:name w:val="Заголовок №1_"/>
    <w:link w:val="11"/>
    <w:locked/>
    <w:rsid w:val="00F85B00"/>
    <w:rPr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F85B00"/>
    <w:pPr>
      <w:spacing w:after="250" w:line="244" w:lineRule="auto"/>
      <w:ind w:left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F85B00"/>
    <w:pPr>
      <w:widowControl/>
      <w:spacing w:after="160" w:line="25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F85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B00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9">
    <w:name w:val="No Spacing"/>
    <w:uiPriority w:val="1"/>
    <w:qFormat/>
    <w:rsid w:val="00F6000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00"/>
    <w:pPr>
      <w:ind w:left="720"/>
      <w:contextualSpacing/>
    </w:pPr>
  </w:style>
  <w:style w:type="character" w:customStyle="1" w:styleId="a4">
    <w:name w:val="Основной текст_"/>
    <w:link w:val="1"/>
    <w:locked/>
    <w:rsid w:val="00F85B00"/>
    <w:rPr>
      <w:sz w:val="22"/>
      <w:szCs w:val="22"/>
    </w:rPr>
  </w:style>
  <w:style w:type="paragraph" w:customStyle="1" w:styleId="1">
    <w:name w:val="Основной текст1"/>
    <w:basedOn w:val="a"/>
    <w:link w:val="a4"/>
    <w:rsid w:val="00F85B0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character" w:customStyle="1" w:styleId="a5">
    <w:name w:val="Другое_"/>
    <w:link w:val="a6"/>
    <w:locked/>
    <w:rsid w:val="00F85B00"/>
    <w:rPr>
      <w:sz w:val="22"/>
      <w:szCs w:val="22"/>
    </w:rPr>
  </w:style>
  <w:style w:type="paragraph" w:customStyle="1" w:styleId="a6">
    <w:name w:val="Другое"/>
    <w:basedOn w:val="a"/>
    <w:link w:val="a5"/>
    <w:rsid w:val="00F85B0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character" w:customStyle="1" w:styleId="10">
    <w:name w:val="Заголовок №1_"/>
    <w:link w:val="11"/>
    <w:locked/>
    <w:rsid w:val="00F85B00"/>
    <w:rPr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F85B00"/>
    <w:pPr>
      <w:spacing w:after="250" w:line="244" w:lineRule="auto"/>
      <w:ind w:left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F85B00"/>
    <w:pPr>
      <w:widowControl/>
      <w:spacing w:after="160" w:line="25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F85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B00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9">
    <w:name w:val="No Spacing"/>
    <w:uiPriority w:val="1"/>
    <w:qFormat/>
    <w:rsid w:val="00F6000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11166</Words>
  <Characters>6365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2022-11-21T16:11:00Z</cp:lastPrinted>
  <dcterms:created xsi:type="dcterms:W3CDTF">2022-11-15T09:34:00Z</dcterms:created>
  <dcterms:modified xsi:type="dcterms:W3CDTF">2022-11-21T16:13:00Z</dcterms:modified>
</cp:coreProperties>
</file>