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B10" w:rsidRPr="00744DA5" w:rsidRDefault="00C06B10" w:rsidP="00C06B10">
      <w:pPr>
        <w:shd w:val="clear" w:color="auto" w:fill="FFFFFF"/>
        <w:tabs>
          <w:tab w:val="left" w:leader="hyphen" w:pos="1560"/>
        </w:tabs>
        <w:suppressAutoHyphens/>
        <w:jc w:val="center"/>
        <w:rPr>
          <w:b/>
          <w:spacing w:val="-1"/>
          <w:sz w:val="32"/>
          <w:szCs w:val="32"/>
          <w:lang w:val="uk-UA" w:eastAsia="ar-SA"/>
        </w:rPr>
      </w:pPr>
      <w:r w:rsidRPr="00744DA5">
        <w:rPr>
          <w:b/>
          <w:noProof/>
          <w:sz w:val="28"/>
          <w:szCs w:val="28"/>
          <w:lang w:val="uk-UA" w:eastAsia="uk-UA"/>
        </w:rPr>
        <w:drawing>
          <wp:inline distT="0" distB="0" distL="0" distR="0" wp14:anchorId="1D26A2C5" wp14:editId="6E3F1690">
            <wp:extent cx="521335" cy="694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335" cy="694690"/>
                    </a:xfrm>
                    <a:prstGeom prst="rect">
                      <a:avLst/>
                    </a:prstGeom>
                    <a:noFill/>
                    <a:ln>
                      <a:noFill/>
                    </a:ln>
                  </pic:spPr>
                </pic:pic>
              </a:graphicData>
            </a:graphic>
          </wp:inline>
        </w:drawing>
      </w:r>
    </w:p>
    <w:p w:rsidR="00C06B10" w:rsidRPr="00744DA5" w:rsidRDefault="00C06B10" w:rsidP="00C06B10">
      <w:pPr>
        <w:tabs>
          <w:tab w:val="center" w:pos="4931"/>
        </w:tabs>
        <w:suppressAutoHyphens/>
        <w:spacing w:after="120" w:line="200" w:lineRule="atLeast"/>
        <w:jc w:val="center"/>
        <w:rPr>
          <w:b/>
          <w:bCs/>
          <w:color w:val="000000"/>
          <w:sz w:val="32"/>
          <w:szCs w:val="32"/>
          <w:lang w:val="uk-UA" w:eastAsia="ar-SA"/>
        </w:rPr>
      </w:pPr>
      <w:r w:rsidRPr="00744DA5">
        <w:rPr>
          <w:b/>
          <w:bCs/>
          <w:color w:val="000000"/>
          <w:sz w:val="32"/>
          <w:szCs w:val="32"/>
          <w:lang w:val="uk-UA" w:eastAsia="ar-SA"/>
        </w:rPr>
        <w:t>АНАНЬЇВСЬКА МІСЬКА РАДА</w:t>
      </w:r>
    </w:p>
    <w:p w:rsidR="00C06B10" w:rsidRPr="00744DA5" w:rsidRDefault="00C06B10" w:rsidP="00C06B10">
      <w:pPr>
        <w:tabs>
          <w:tab w:val="center" w:pos="4931"/>
        </w:tabs>
        <w:suppressAutoHyphens/>
        <w:spacing w:line="200" w:lineRule="atLeast"/>
        <w:jc w:val="center"/>
        <w:rPr>
          <w:b/>
          <w:bCs/>
          <w:color w:val="000000"/>
          <w:sz w:val="28"/>
          <w:szCs w:val="28"/>
          <w:lang w:val="uk-UA" w:eastAsia="ar-SA"/>
        </w:rPr>
      </w:pPr>
      <w:r w:rsidRPr="00744DA5">
        <w:rPr>
          <w:b/>
          <w:bCs/>
          <w:color w:val="000000"/>
          <w:sz w:val="28"/>
          <w:szCs w:val="28"/>
          <w:lang w:val="uk-UA" w:eastAsia="ar-SA"/>
        </w:rPr>
        <w:t>ПРОЄКТ РІШЕННЯ</w:t>
      </w:r>
    </w:p>
    <w:p w:rsidR="00C06B10" w:rsidRPr="00744DA5" w:rsidRDefault="00C06B10" w:rsidP="00C06B10">
      <w:pPr>
        <w:tabs>
          <w:tab w:val="center" w:pos="4931"/>
        </w:tabs>
        <w:suppressAutoHyphens/>
        <w:jc w:val="center"/>
        <w:rPr>
          <w:b/>
          <w:bCs/>
          <w:color w:val="000000"/>
          <w:sz w:val="28"/>
          <w:szCs w:val="28"/>
          <w:lang w:val="uk-UA" w:eastAsia="ar-SA"/>
        </w:rPr>
      </w:pPr>
    </w:p>
    <w:p w:rsidR="00C06B10" w:rsidRPr="00744DA5" w:rsidRDefault="00C06B10" w:rsidP="00C06B10">
      <w:pPr>
        <w:jc w:val="both"/>
        <w:rPr>
          <w:rFonts w:eastAsia="Calibri"/>
          <w:sz w:val="28"/>
          <w:szCs w:val="28"/>
          <w:lang w:val="uk-UA" w:eastAsia="en-US"/>
        </w:rPr>
      </w:pPr>
      <w:r w:rsidRPr="00744DA5">
        <w:rPr>
          <w:rFonts w:eastAsia="Calibri"/>
          <w:sz w:val="28"/>
          <w:szCs w:val="28"/>
          <w:lang w:val="uk-UA" w:eastAsia="en-US"/>
        </w:rPr>
        <w:t>04 березня 2022 року</w:t>
      </w:r>
      <w:r w:rsidRPr="00744DA5">
        <w:rPr>
          <w:rFonts w:eastAsia="Calibri"/>
          <w:sz w:val="28"/>
          <w:szCs w:val="28"/>
          <w:lang w:val="uk-UA" w:eastAsia="en-US"/>
        </w:rPr>
        <w:tab/>
      </w:r>
      <w:r w:rsidRPr="00744DA5">
        <w:rPr>
          <w:rFonts w:eastAsia="Calibri"/>
          <w:sz w:val="28"/>
          <w:szCs w:val="28"/>
          <w:lang w:val="uk-UA" w:eastAsia="en-US"/>
        </w:rPr>
        <w:tab/>
      </w:r>
      <w:r w:rsidRPr="00744DA5">
        <w:rPr>
          <w:rFonts w:eastAsia="Calibri"/>
          <w:sz w:val="28"/>
          <w:szCs w:val="28"/>
          <w:lang w:val="uk-UA" w:eastAsia="en-US"/>
        </w:rPr>
        <w:tab/>
      </w:r>
      <w:r w:rsidRPr="00744DA5">
        <w:rPr>
          <w:rFonts w:eastAsia="Calibri"/>
          <w:sz w:val="28"/>
          <w:szCs w:val="28"/>
          <w:lang w:val="uk-UA" w:eastAsia="en-US"/>
        </w:rPr>
        <w:tab/>
      </w:r>
      <w:r w:rsidRPr="00744DA5">
        <w:rPr>
          <w:rFonts w:eastAsia="Calibri"/>
          <w:sz w:val="28"/>
          <w:szCs w:val="28"/>
          <w:lang w:val="uk-UA" w:eastAsia="en-US"/>
        </w:rPr>
        <w:tab/>
      </w:r>
      <w:r w:rsidRPr="00744DA5">
        <w:rPr>
          <w:rFonts w:eastAsia="Calibri"/>
          <w:sz w:val="28"/>
          <w:szCs w:val="28"/>
          <w:lang w:val="uk-UA" w:eastAsia="en-US"/>
        </w:rPr>
        <w:tab/>
      </w:r>
      <w:r w:rsidRPr="00744DA5">
        <w:rPr>
          <w:rFonts w:eastAsia="Calibri"/>
          <w:sz w:val="28"/>
          <w:szCs w:val="28"/>
          <w:lang w:val="uk-UA" w:eastAsia="en-US"/>
        </w:rPr>
        <w:tab/>
        <w:t xml:space="preserve">       №        -</w:t>
      </w:r>
      <w:r w:rsidRPr="00744DA5">
        <w:rPr>
          <w:rFonts w:eastAsia="Calibri"/>
          <w:sz w:val="28"/>
          <w:szCs w:val="28"/>
          <w:lang w:val="en-US" w:eastAsia="en-US"/>
        </w:rPr>
        <w:t>V</w:t>
      </w:r>
      <w:r w:rsidRPr="00744DA5">
        <w:rPr>
          <w:rFonts w:eastAsia="Calibri"/>
          <w:sz w:val="28"/>
          <w:szCs w:val="28"/>
          <w:lang w:val="uk-UA" w:eastAsia="en-US"/>
        </w:rPr>
        <w:t>ІІІ</w:t>
      </w:r>
    </w:p>
    <w:p w:rsidR="00C06B10" w:rsidRPr="00C06B10" w:rsidRDefault="00C06B10" w:rsidP="00C06B10">
      <w:pPr>
        <w:tabs>
          <w:tab w:val="left" w:pos="3960"/>
          <w:tab w:val="left" w:pos="6379"/>
        </w:tabs>
        <w:jc w:val="both"/>
        <w:rPr>
          <w:spacing w:val="4"/>
          <w:sz w:val="28"/>
          <w:szCs w:val="28"/>
          <w:lang w:val="uk-UA" w:eastAsia="en-US"/>
        </w:rPr>
      </w:pPr>
    </w:p>
    <w:p w:rsidR="002E6DA7" w:rsidRPr="00C06B10" w:rsidRDefault="002E6DA7" w:rsidP="00C06B10">
      <w:pPr>
        <w:tabs>
          <w:tab w:val="left" w:pos="3960"/>
          <w:tab w:val="left" w:pos="6379"/>
        </w:tabs>
        <w:jc w:val="center"/>
        <w:rPr>
          <w:b/>
          <w:spacing w:val="4"/>
          <w:sz w:val="28"/>
          <w:szCs w:val="28"/>
          <w:lang w:eastAsia="en-US"/>
        </w:rPr>
      </w:pPr>
      <w:r w:rsidRPr="00C06B10">
        <w:rPr>
          <w:b/>
          <w:spacing w:val="4"/>
          <w:sz w:val="28"/>
          <w:szCs w:val="28"/>
          <w:lang w:val="uk-UA" w:eastAsia="en-US"/>
        </w:rPr>
        <w:t>Про розроблення Комплексного плану просторового розвитку території Ананьївської міської територіальної громади</w:t>
      </w:r>
    </w:p>
    <w:p w:rsidR="00C06B10" w:rsidRDefault="00C06B10" w:rsidP="00C06B10">
      <w:pPr>
        <w:tabs>
          <w:tab w:val="left" w:pos="3960"/>
          <w:tab w:val="left" w:pos="6379"/>
          <w:tab w:val="left" w:pos="9921"/>
        </w:tabs>
        <w:ind w:firstLine="851"/>
        <w:jc w:val="both"/>
        <w:rPr>
          <w:spacing w:val="6"/>
          <w:sz w:val="28"/>
          <w:szCs w:val="28"/>
          <w:lang w:val="uk-UA" w:eastAsia="en-US"/>
        </w:rPr>
      </w:pPr>
    </w:p>
    <w:p w:rsidR="002E6DA7" w:rsidRPr="000D023E" w:rsidRDefault="002E6DA7" w:rsidP="00C06B10">
      <w:pPr>
        <w:tabs>
          <w:tab w:val="left" w:pos="3960"/>
          <w:tab w:val="left" w:pos="6379"/>
          <w:tab w:val="left" w:pos="9921"/>
        </w:tabs>
        <w:ind w:firstLine="709"/>
        <w:jc w:val="both"/>
        <w:rPr>
          <w:spacing w:val="6"/>
          <w:sz w:val="28"/>
          <w:szCs w:val="28"/>
          <w:lang w:val="uk-UA" w:eastAsia="en-US"/>
        </w:rPr>
      </w:pPr>
      <w:r w:rsidRPr="000D023E">
        <w:rPr>
          <w:spacing w:val="6"/>
          <w:sz w:val="28"/>
          <w:szCs w:val="28"/>
          <w:lang w:val="uk-UA" w:eastAsia="en-US"/>
        </w:rPr>
        <w:t>Відповідно до Земельного кодексу України, пункту 41 частини першої стат</w:t>
      </w:r>
      <w:r w:rsidR="00C06B10">
        <w:rPr>
          <w:spacing w:val="6"/>
          <w:sz w:val="28"/>
          <w:szCs w:val="28"/>
          <w:lang w:val="uk-UA" w:eastAsia="en-US"/>
        </w:rPr>
        <w:t>т</w:t>
      </w:r>
      <w:r w:rsidRPr="000D023E">
        <w:rPr>
          <w:spacing w:val="6"/>
          <w:sz w:val="28"/>
          <w:szCs w:val="28"/>
          <w:lang w:val="uk-UA" w:eastAsia="en-US"/>
        </w:rPr>
        <w:t>і 26, пі</w:t>
      </w:r>
      <w:r w:rsidR="003B42BE">
        <w:rPr>
          <w:spacing w:val="6"/>
          <w:sz w:val="28"/>
          <w:szCs w:val="28"/>
          <w:lang w:val="uk-UA" w:eastAsia="en-US"/>
        </w:rPr>
        <w:t xml:space="preserve">дпункту 6 пункту «а» статті 31 </w:t>
      </w:r>
      <w:r w:rsidRPr="000D023E">
        <w:rPr>
          <w:spacing w:val="6"/>
          <w:sz w:val="28"/>
          <w:szCs w:val="28"/>
          <w:lang w:val="uk-UA" w:eastAsia="en-US"/>
        </w:rPr>
        <w:t>Закону України «Про місцеве</w:t>
      </w:r>
      <w:r w:rsidR="00C06B10">
        <w:rPr>
          <w:spacing w:val="6"/>
          <w:sz w:val="28"/>
          <w:szCs w:val="28"/>
          <w:lang w:val="uk-UA" w:eastAsia="en-US"/>
        </w:rPr>
        <w:t xml:space="preserve"> самоврядування в Україні», статей 16,</w:t>
      </w:r>
      <w:r w:rsidRPr="000D023E">
        <w:rPr>
          <w:spacing w:val="6"/>
          <w:sz w:val="28"/>
          <w:szCs w:val="28"/>
          <w:lang w:val="uk-UA" w:eastAsia="en-US"/>
        </w:rPr>
        <w:t>16</w:t>
      </w:r>
      <w:r w:rsidRPr="000D023E">
        <w:rPr>
          <w:spacing w:val="6"/>
          <w:sz w:val="28"/>
          <w:szCs w:val="28"/>
          <w:vertAlign w:val="superscript"/>
          <w:lang w:val="uk-UA" w:eastAsia="en-US"/>
        </w:rPr>
        <w:t>1</w:t>
      </w:r>
      <w:r w:rsidRPr="000D023E">
        <w:rPr>
          <w:spacing w:val="6"/>
          <w:sz w:val="28"/>
          <w:szCs w:val="28"/>
          <w:lang w:val="uk-UA" w:eastAsia="en-US"/>
        </w:rPr>
        <w:t xml:space="preserve"> Закону України «Про </w:t>
      </w:r>
      <w:r w:rsidRPr="000D023E">
        <w:rPr>
          <w:sz w:val="28"/>
          <w:szCs w:val="28"/>
          <w:lang w:val="uk-UA" w:eastAsia="en-US"/>
        </w:rPr>
        <w:t>регулювання мі</w:t>
      </w:r>
      <w:r w:rsidR="003B42BE">
        <w:rPr>
          <w:sz w:val="28"/>
          <w:szCs w:val="28"/>
          <w:lang w:val="uk-UA" w:eastAsia="en-US"/>
        </w:rPr>
        <w:t>стобудівної діяльності», Закону</w:t>
      </w:r>
      <w:r w:rsidRPr="000D023E">
        <w:rPr>
          <w:sz w:val="28"/>
          <w:szCs w:val="28"/>
          <w:lang w:val="uk-UA" w:eastAsia="en-US"/>
        </w:rPr>
        <w:t xml:space="preserve"> України «Про стратегічну екологічну оцінку», стат</w:t>
      </w:r>
      <w:r w:rsidR="00C06B10">
        <w:rPr>
          <w:sz w:val="28"/>
          <w:szCs w:val="28"/>
          <w:lang w:val="uk-UA" w:eastAsia="en-US"/>
        </w:rPr>
        <w:t>т</w:t>
      </w:r>
      <w:r w:rsidRPr="000D023E">
        <w:rPr>
          <w:sz w:val="28"/>
          <w:szCs w:val="28"/>
          <w:lang w:val="uk-UA" w:eastAsia="en-US"/>
        </w:rPr>
        <w:t>і 45</w:t>
      </w:r>
      <w:r w:rsidRPr="000D023E">
        <w:rPr>
          <w:sz w:val="28"/>
          <w:szCs w:val="28"/>
          <w:vertAlign w:val="superscript"/>
          <w:lang w:val="uk-UA" w:eastAsia="en-US"/>
        </w:rPr>
        <w:t>2</w:t>
      </w:r>
      <w:r w:rsidRPr="000D023E">
        <w:rPr>
          <w:sz w:val="28"/>
          <w:szCs w:val="28"/>
          <w:lang w:val="uk-UA" w:eastAsia="en-US"/>
        </w:rPr>
        <w:t xml:space="preserve"> Закону України «Про землеустрій», абзацу другого пункту 2 Прикінцевих та Перехідних положень Закону України</w:t>
      </w:r>
      <w:r w:rsidR="00C06B10">
        <w:rPr>
          <w:sz w:val="28"/>
          <w:szCs w:val="28"/>
          <w:lang w:val="uk-UA" w:eastAsia="en-US"/>
        </w:rPr>
        <w:t xml:space="preserve">  </w:t>
      </w:r>
      <w:r w:rsidRPr="000D023E">
        <w:rPr>
          <w:sz w:val="28"/>
          <w:szCs w:val="28"/>
          <w:lang w:val="uk-UA" w:eastAsia="en-US"/>
        </w:rPr>
        <w:t xml:space="preserve"> «Про державний земельний кадастр», </w:t>
      </w:r>
      <w:r w:rsidRPr="000D023E">
        <w:rPr>
          <w:bCs/>
          <w:sz w:val="28"/>
          <w:szCs w:val="28"/>
          <w:lang w:val="uk-UA" w:eastAsia="en-US"/>
        </w:rPr>
        <w:t xml:space="preserve"> </w:t>
      </w:r>
      <w:r w:rsidRPr="000D023E">
        <w:rPr>
          <w:sz w:val="28"/>
          <w:szCs w:val="28"/>
          <w:lang w:val="uk-UA" w:eastAsia="en-US"/>
        </w:rPr>
        <w:t>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для узгодження прийняття рішень щодо цілісного просторового розвитку населених пунктів як єдиної системи розселення і території за їх межами з метою забезпечення сталого розвитку території громади з додержанням принципу збалансованості державних, громадських та приватних інтересів та з урахуванням відсутності комплексного плану просторового розвитку Ананьївської міської територіальної громади,</w:t>
      </w:r>
      <w:r w:rsidR="00C06B10">
        <w:rPr>
          <w:spacing w:val="6"/>
          <w:sz w:val="28"/>
          <w:szCs w:val="28"/>
          <w:lang w:val="uk-UA" w:eastAsia="en-US"/>
        </w:rPr>
        <w:t xml:space="preserve"> Ананьївська міська рада</w:t>
      </w:r>
      <w:r w:rsidRPr="000D023E">
        <w:rPr>
          <w:spacing w:val="6"/>
          <w:sz w:val="28"/>
          <w:szCs w:val="28"/>
          <w:lang w:val="uk-UA" w:eastAsia="en-US"/>
        </w:rPr>
        <w:t xml:space="preserve"> </w:t>
      </w:r>
    </w:p>
    <w:p w:rsidR="00C06B10" w:rsidRPr="00C06B10" w:rsidRDefault="00C06B10" w:rsidP="00C06B10">
      <w:pPr>
        <w:tabs>
          <w:tab w:val="left" w:pos="3960"/>
          <w:tab w:val="left" w:pos="6379"/>
          <w:tab w:val="left" w:pos="9921"/>
        </w:tabs>
        <w:ind w:firstLine="851"/>
        <w:jc w:val="both"/>
        <w:rPr>
          <w:spacing w:val="6"/>
          <w:lang w:val="uk-UA" w:eastAsia="en-US"/>
        </w:rPr>
      </w:pPr>
    </w:p>
    <w:p w:rsidR="002E6DA7" w:rsidRDefault="002E6DA7" w:rsidP="00C06B10">
      <w:pPr>
        <w:tabs>
          <w:tab w:val="left" w:pos="3960"/>
          <w:tab w:val="left" w:pos="6379"/>
          <w:tab w:val="left" w:pos="9921"/>
        </w:tabs>
        <w:jc w:val="both"/>
        <w:rPr>
          <w:b/>
          <w:spacing w:val="6"/>
          <w:sz w:val="28"/>
          <w:szCs w:val="28"/>
          <w:lang w:val="uk-UA" w:eastAsia="en-US"/>
        </w:rPr>
      </w:pPr>
      <w:r w:rsidRPr="00C06B10">
        <w:rPr>
          <w:b/>
          <w:spacing w:val="6"/>
          <w:sz w:val="28"/>
          <w:szCs w:val="28"/>
          <w:lang w:val="uk-UA" w:eastAsia="en-US"/>
        </w:rPr>
        <w:t>ВИРІШИЛА:</w:t>
      </w:r>
    </w:p>
    <w:p w:rsidR="00C06B10" w:rsidRPr="00C06B10" w:rsidRDefault="00C06B10" w:rsidP="00C06B10">
      <w:pPr>
        <w:tabs>
          <w:tab w:val="left" w:pos="3960"/>
          <w:tab w:val="left" w:pos="6379"/>
          <w:tab w:val="left" w:pos="9921"/>
        </w:tabs>
        <w:jc w:val="both"/>
        <w:rPr>
          <w:b/>
          <w:spacing w:val="6"/>
          <w:lang w:val="uk-UA" w:eastAsia="en-US"/>
        </w:rPr>
      </w:pPr>
    </w:p>
    <w:p w:rsidR="002E6DA7" w:rsidRPr="000D023E" w:rsidRDefault="002E6DA7" w:rsidP="003B42BE">
      <w:pPr>
        <w:numPr>
          <w:ilvl w:val="0"/>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Надати дозвіл на р</w:t>
      </w:r>
      <w:r w:rsidR="001B3B07">
        <w:rPr>
          <w:sz w:val="28"/>
          <w:szCs w:val="28"/>
          <w:lang w:val="uk-UA" w:eastAsia="en-US"/>
        </w:rPr>
        <w:t xml:space="preserve">озроблення </w:t>
      </w:r>
      <w:proofErr w:type="spellStart"/>
      <w:r w:rsidR="001B3B07">
        <w:rPr>
          <w:sz w:val="28"/>
          <w:szCs w:val="28"/>
          <w:lang w:val="uk-UA" w:eastAsia="en-US"/>
        </w:rPr>
        <w:t>проєкту</w:t>
      </w:r>
      <w:proofErr w:type="spellEnd"/>
      <w:r w:rsidR="001B3B07">
        <w:rPr>
          <w:sz w:val="28"/>
          <w:szCs w:val="28"/>
          <w:lang w:val="uk-UA" w:eastAsia="en-US"/>
        </w:rPr>
        <w:t xml:space="preserve"> «Комплексний план</w:t>
      </w:r>
      <w:r w:rsidRPr="000D023E">
        <w:rPr>
          <w:sz w:val="28"/>
          <w:szCs w:val="28"/>
          <w:lang w:val="uk-UA" w:eastAsia="en-US"/>
        </w:rPr>
        <w:t xml:space="preserve"> просторового розвитку території Ананьївської міської територіальної громади» (далі </w:t>
      </w:r>
      <w:r w:rsidR="001B3B07">
        <w:rPr>
          <w:sz w:val="28"/>
          <w:szCs w:val="28"/>
          <w:lang w:val="uk-UA" w:eastAsia="en-US"/>
        </w:rPr>
        <w:t xml:space="preserve">- </w:t>
      </w:r>
      <w:r w:rsidRPr="000D023E">
        <w:rPr>
          <w:sz w:val="28"/>
          <w:szCs w:val="28"/>
          <w:lang w:val="uk-UA" w:eastAsia="en-US"/>
        </w:rPr>
        <w:t>Комплексний план).</w:t>
      </w:r>
    </w:p>
    <w:p w:rsidR="00C06B10" w:rsidRPr="003B42BE" w:rsidRDefault="00C06B10" w:rsidP="00C06B10">
      <w:pPr>
        <w:tabs>
          <w:tab w:val="left" w:pos="709"/>
          <w:tab w:val="left" w:pos="1134"/>
          <w:tab w:val="left" w:pos="1418"/>
        </w:tabs>
        <w:ind w:left="709"/>
        <w:jc w:val="both"/>
        <w:rPr>
          <w:lang w:val="uk-UA" w:eastAsia="en-US"/>
        </w:rPr>
      </w:pPr>
    </w:p>
    <w:p w:rsidR="002E6DA7" w:rsidRPr="000D023E" w:rsidRDefault="002E6DA7" w:rsidP="00C06B10">
      <w:pPr>
        <w:numPr>
          <w:ilvl w:val="0"/>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Надати дозвіл на розробку стратегічної екологічної оцінки документу державного планування Комплексного плану</w:t>
      </w:r>
      <w:r w:rsidR="003B42BE">
        <w:rPr>
          <w:sz w:val="28"/>
          <w:szCs w:val="28"/>
          <w:lang w:val="uk-UA" w:eastAsia="en-US"/>
        </w:rPr>
        <w:t>.</w:t>
      </w:r>
    </w:p>
    <w:p w:rsidR="00C06B10" w:rsidRPr="003B42BE" w:rsidRDefault="00C06B10" w:rsidP="00C06B10">
      <w:pPr>
        <w:tabs>
          <w:tab w:val="left" w:pos="709"/>
          <w:tab w:val="left" w:pos="1134"/>
          <w:tab w:val="left" w:pos="1418"/>
        </w:tabs>
        <w:ind w:left="709"/>
        <w:jc w:val="both"/>
        <w:rPr>
          <w:lang w:val="uk-UA" w:eastAsia="en-US"/>
        </w:rPr>
      </w:pPr>
    </w:p>
    <w:p w:rsidR="002E6DA7" w:rsidRPr="000D023E" w:rsidRDefault="002E6DA7" w:rsidP="00C06B10">
      <w:pPr>
        <w:numPr>
          <w:ilvl w:val="0"/>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 xml:space="preserve">Затвердити Положення про робочу групу щодо розроблення </w:t>
      </w:r>
      <w:proofErr w:type="spellStart"/>
      <w:r w:rsidRPr="000D023E">
        <w:rPr>
          <w:sz w:val="28"/>
          <w:szCs w:val="28"/>
          <w:lang w:val="uk-UA" w:eastAsia="en-US"/>
        </w:rPr>
        <w:t>проєкту</w:t>
      </w:r>
      <w:proofErr w:type="spellEnd"/>
      <w:r w:rsidRPr="000D023E">
        <w:rPr>
          <w:sz w:val="28"/>
          <w:szCs w:val="28"/>
          <w:lang w:val="uk-UA" w:eastAsia="en-US"/>
        </w:rPr>
        <w:t xml:space="preserve"> Комплексного плану</w:t>
      </w:r>
      <w:r w:rsidR="001B3B07">
        <w:rPr>
          <w:sz w:val="28"/>
          <w:szCs w:val="28"/>
          <w:lang w:val="uk-UA" w:eastAsia="en-US"/>
        </w:rPr>
        <w:t>,</w:t>
      </w:r>
      <w:r w:rsidRPr="000D023E">
        <w:rPr>
          <w:sz w:val="28"/>
          <w:szCs w:val="28"/>
          <w:lang w:val="uk-UA" w:eastAsia="en-US"/>
        </w:rPr>
        <w:t xml:space="preserve"> що додається.</w:t>
      </w:r>
    </w:p>
    <w:p w:rsidR="00C06B10" w:rsidRPr="003B42BE" w:rsidRDefault="00C06B10" w:rsidP="00C06B10">
      <w:pPr>
        <w:tabs>
          <w:tab w:val="left" w:pos="709"/>
          <w:tab w:val="left" w:pos="1134"/>
          <w:tab w:val="left" w:pos="1418"/>
        </w:tabs>
        <w:ind w:left="709"/>
        <w:jc w:val="both"/>
        <w:rPr>
          <w:lang w:val="uk-UA" w:eastAsia="en-US"/>
        </w:rPr>
      </w:pPr>
    </w:p>
    <w:p w:rsidR="002E6DA7" w:rsidRPr="000D023E" w:rsidRDefault="005A0451" w:rsidP="00C06B10">
      <w:pPr>
        <w:numPr>
          <w:ilvl w:val="0"/>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Керівникам структурних підрозділів </w:t>
      </w:r>
      <w:r w:rsidR="002E6DA7" w:rsidRPr="000D023E">
        <w:rPr>
          <w:sz w:val="28"/>
          <w:szCs w:val="28"/>
          <w:lang w:val="uk-UA" w:eastAsia="en-US"/>
        </w:rPr>
        <w:t>Ананьївської міської ради</w:t>
      </w:r>
      <w:r w:rsidR="001B3B07">
        <w:rPr>
          <w:sz w:val="28"/>
          <w:szCs w:val="28"/>
          <w:lang w:val="uk-UA" w:eastAsia="en-US"/>
        </w:rPr>
        <w:t>,</w:t>
      </w:r>
      <w:r>
        <w:rPr>
          <w:sz w:val="28"/>
          <w:szCs w:val="28"/>
          <w:lang w:val="uk-UA" w:eastAsia="en-US"/>
        </w:rPr>
        <w:t xml:space="preserve"> причетним до розроблення </w:t>
      </w:r>
      <w:r w:rsidR="000A6722" w:rsidRPr="000D023E">
        <w:rPr>
          <w:sz w:val="28"/>
          <w:szCs w:val="28"/>
          <w:lang w:val="uk-UA" w:eastAsia="en-US"/>
        </w:rPr>
        <w:t>Комплексного плану</w:t>
      </w:r>
      <w:r w:rsidR="000A6722">
        <w:rPr>
          <w:sz w:val="28"/>
          <w:szCs w:val="28"/>
          <w:lang w:val="uk-UA" w:eastAsia="en-US"/>
        </w:rPr>
        <w:t xml:space="preserve"> в межах своїх повноважень</w:t>
      </w:r>
      <w:r w:rsidR="002E6DA7" w:rsidRPr="000D023E">
        <w:rPr>
          <w:sz w:val="28"/>
          <w:szCs w:val="28"/>
          <w:lang w:val="uk-UA" w:eastAsia="en-US"/>
        </w:rPr>
        <w:t>:</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Визначити у встановленому законодавством порядку розробника Комплексного плану, строки розроблення та джерела фінансування.</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Повідомити через засоби </w:t>
      </w:r>
      <w:r w:rsidR="001B3B07">
        <w:rPr>
          <w:sz w:val="28"/>
          <w:szCs w:val="28"/>
          <w:lang w:val="uk-UA" w:eastAsia="en-US"/>
        </w:rPr>
        <w:t>масової інформації та офіційний</w:t>
      </w:r>
      <w:r w:rsidR="002E6DA7" w:rsidRPr="000D023E">
        <w:rPr>
          <w:sz w:val="28"/>
          <w:szCs w:val="28"/>
          <w:lang w:val="uk-UA" w:eastAsia="en-US"/>
        </w:rPr>
        <w:t xml:space="preserve"> сайт міської ради про початок розроблення Комплексного плану та визначити </w:t>
      </w:r>
      <w:r w:rsidR="002E6DA7" w:rsidRPr="000D023E">
        <w:rPr>
          <w:sz w:val="28"/>
          <w:szCs w:val="28"/>
          <w:lang w:val="uk-UA" w:eastAsia="en-US"/>
        </w:rPr>
        <w:lastRenderedPageBreak/>
        <w:t>порядок і строк внесення пропозицій до нього фізичним та юридичним особам.</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Забезпечити збір вихідних даних для розроблення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 та проведення підготовчих процедур розроблення Комплексного плану.</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Звернутись до Одеської обласної державної адміністрації щодо визначення державних інтересів для їх врахування під час розроблення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Створити робочу групу щодо розробки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 до складу якої входитимуть представники міської ради, виконавчих органів міської ради, органів державної влади, державних та комунальних підприємств, установ, організацій, органів самоорганізації населення, громадських організацій, інших заінтересованих сторін у складі не менше як п’ять осіб і не більш як 21 особа, з непарною кількістю членів. Забезпечити участь у Робочій групі принаймні одного представника від кожного з населених пунктів, розташованих на території територіальної громади, який не є співробітником виконавчого органу Ананьївської міської ради. Допускається представлення одним членом робочої групи інтересів кількох сіл територіальної громади, зокрема тих, які з</w:t>
      </w:r>
      <w:r w:rsidR="001B3B07">
        <w:rPr>
          <w:sz w:val="28"/>
          <w:szCs w:val="28"/>
          <w:lang w:val="uk-UA" w:eastAsia="en-US"/>
        </w:rPr>
        <w:t>н</w:t>
      </w:r>
      <w:r w:rsidR="002E6DA7" w:rsidRPr="000D023E">
        <w:rPr>
          <w:sz w:val="28"/>
          <w:szCs w:val="28"/>
          <w:lang w:val="uk-UA" w:eastAsia="en-US"/>
        </w:rPr>
        <w:t>аходяться в одному старостаті. Терміни прийому заявок на участь у робочій групі – 30 робочих днів з дня публікації відповідного оголошення на офіційному сайті Ананьївської міської ради. Місце прийому заявок</w:t>
      </w:r>
      <w:r>
        <w:rPr>
          <w:sz w:val="28"/>
          <w:szCs w:val="28"/>
          <w:lang w:val="uk-UA" w:eastAsia="en-US"/>
        </w:rPr>
        <w:t>:</w:t>
      </w:r>
      <w:r w:rsidR="002E6DA7" w:rsidRPr="000D023E">
        <w:rPr>
          <w:sz w:val="28"/>
          <w:szCs w:val="28"/>
          <w:lang w:val="uk-UA" w:eastAsia="en-US"/>
        </w:rPr>
        <w:t xml:space="preserve"> сектор з питань містобудування та архітектури Ананьївської міської ради м. Ананьїв, вул. Незалежності, </w:t>
      </w:r>
      <w:r w:rsidR="00C06B10">
        <w:rPr>
          <w:sz w:val="28"/>
          <w:szCs w:val="28"/>
          <w:lang w:val="uk-UA" w:eastAsia="en-US"/>
        </w:rPr>
        <w:t xml:space="preserve">          </w:t>
      </w:r>
      <w:r w:rsidR="002E6DA7" w:rsidRPr="000D023E">
        <w:rPr>
          <w:sz w:val="28"/>
          <w:szCs w:val="28"/>
          <w:lang w:val="uk-UA" w:eastAsia="en-US"/>
        </w:rPr>
        <w:t xml:space="preserve">20 </w:t>
      </w:r>
      <w:proofErr w:type="spellStart"/>
      <w:r w:rsidR="002E6DA7" w:rsidRPr="000D023E">
        <w:rPr>
          <w:sz w:val="28"/>
          <w:szCs w:val="28"/>
          <w:lang w:val="uk-UA" w:eastAsia="en-US"/>
        </w:rPr>
        <w:t>каб</w:t>
      </w:r>
      <w:proofErr w:type="spellEnd"/>
      <w:r w:rsidR="002E6DA7" w:rsidRPr="000D023E">
        <w:rPr>
          <w:sz w:val="28"/>
          <w:szCs w:val="28"/>
          <w:lang w:val="uk-UA" w:eastAsia="en-US"/>
        </w:rPr>
        <w:t>. 17.</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Організувати формування завдання з розроблення Комплексного плану шляхом проведення громадського обговорення.</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Забезпечити проведення громадських слухань щодо врахування громадських інтересів під час розроблення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Забезпечити здійснення стратегічної екологічної оцінки</w:t>
      </w:r>
      <w:r w:rsidR="00B93E1B" w:rsidRPr="00B93E1B">
        <w:rPr>
          <w:sz w:val="28"/>
          <w:szCs w:val="28"/>
          <w:lang w:val="uk-UA" w:eastAsia="en-US"/>
        </w:rPr>
        <w:t xml:space="preserve"> </w:t>
      </w:r>
      <w:r w:rsidR="00B93E1B" w:rsidRPr="000D023E">
        <w:rPr>
          <w:sz w:val="28"/>
          <w:szCs w:val="28"/>
          <w:lang w:val="uk-UA" w:eastAsia="en-US"/>
        </w:rPr>
        <w:t xml:space="preserve">документу державного планування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w:t>
      </w:r>
    </w:p>
    <w:p w:rsidR="002E6DA7" w:rsidRPr="000D023E" w:rsidRDefault="003B42BE" w:rsidP="00C06B10">
      <w:pPr>
        <w:numPr>
          <w:ilvl w:val="1"/>
          <w:numId w:val="1"/>
        </w:numPr>
        <w:tabs>
          <w:tab w:val="left" w:pos="709"/>
          <w:tab w:val="left" w:pos="1134"/>
          <w:tab w:val="left" w:pos="1418"/>
        </w:tabs>
        <w:ind w:left="0" w:firstLine="709"/>
        <w:jc w:val="both"/>
        <w:rPr>
          <w:sz w:val="28"/>
          <w:szCs w:val="28"/>
          <w:lang w:val="uk-UA" w:eastAsia="en-US"/>
        </w:rPr>
      </w:pPr>
      <w:r>
        <w:rPr>
          <w:sz w:val="28"/>
          <w:szCs w:val="28"/>
          <w:lang w:val="uk-UA" w:eastAsia="en-US"/>
        </w:rPr>
        <w:t xml:space="preserve"> </w:t>
      </w:r>
      <w:r w:rsidR="002E6DA7" w:rsidRPr="000D023E">
        <w:rPr>
          <w:sz w:val="28"/>
          <w:szCs w:val="28"/>
          <w:lang w:val="uk-UA" w:eastAsia="en-US"/>
        </w:rPr>
        <w:t xml:space="preserve">Забезпечити попередній розгляд </w:t>
      </w:r>
      <w:proofErr w:type="spellStart"/>
      <w:r w:rsidR="002E6DA7" w:rsidRPr="000D023E">
        <w:rPr>
          <w:sz w:val="28"/>
          <w:szCs w:val="28"/>
          <w:lang w:val="uk-UA" w:eastAsia="en-US"/>
        </w:rPr>
        <w:t>проєкту</w:t>
      </w:r>
      <w:proofErr w:type="spellEnd"/>
      <w:r w:rsidR="002E6DA7" w:rsidRPr="000D023E">
        <w:rPr>
          <w:sz w:val="28"/>
          <w:szCs w:val="28"/>
          <w:lang w:val="uk-UA" w:eastAsia="en-US"/>
        </w:rPr>
        <w:t xml:space="preserve"> Комплексного плану відповідною архітектурно-містобудівною радою.</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 xml:space="preserve">Узгодити </w:t>
      </w:r>
      <w:proofErr w:type="spellStart"/>
      <w:r w:rsidRPr="000D023E">
        <w:rPr>
          <w:sz w:val="28"/>
          <w:szCs w:val="28"/>
          <w:lang w:val="uk-UA" w:eastAsia="en-US"/>
        </w:rPr>
        <w:t>проєкт</w:t>
      </w:r>
      <w:proofErr w:type="spellEnd"/>
      <w:r w:rsidRPr="000D023E">
        <w:rPr>
          <w:sz w:val="28"/>
          <w:szCs w:val="28"/>
          <w:lang w:val="uk-UA" w:eastAsia="en-US"/>
        </w:rPr>
        <w:t xml:space="preserve"> Комплексного плану з органами місцевого самоврядування, що представляють інтереси суміжних територіальних громад, в частині врегулювання питань щодо територій спільних інтересів.</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 xml:space="preserve">Забезпечити подання </w:t>
      </w:r>
      <w:proofErr w:type="spellStart"/>
      <w:r w:rsidRPr="000D023E">
        <w:rPr>
          <w:sz w:val="28"/>
          <w:szCs w:val="28"/>
          <w:lang w:val="uk-UA" w:eastAsia="en-US"/>
        </w:rPr>
        <w:t>проєкту</w:t>
      </w:r>
      <w:proofErr w:type="spellEnd"/>
      <w:r w:rsidRPr="000D023E">
        <w:rPr>
          <w:sz w:val="28"/>
          <w:szCs w:val="28"/>
          <w:lang w:val="uk-UA" w:eastAsia="en-US"/>
        </w:rPr>
        <w:t xml:space="preserve"> Комплексного плану експертній організації для проведення експертизи.</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Забезпечити погодження відповідних проектних рішень Комплексного плану відповідно до Земельного кодексу України.</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Здійснювати контроль за розробленням Комплексного плану.</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 xml:space="preserve">Подати </w:t>
      </w:r>
      <w:proofErr w:type="spellStart"/>
      <w:r w:rsidRPr="000D023E">
        <w:rPr>
          <w:sz w:val="28"/>
          <w:szCs w:val="28"/>
          <w:lang w:val="uk-UA" w:eastAsia="en-US"/>
        </w:rPr>
        <w:t>проєкт</w:t>
      </w:r>
      <w:proofErr w:type="spellEnd"/>
      <w:r w:rsidRPr="000D023E">
        <w:rPr>
          <w:sz w:val="28"/>
          <w:szCs w:val="28"/>
          <w:lang w:val="uk-UA" w:eastAsia="en-US"/>
        </w:rPr>
        <w:t xml:space="preserve"> Комплексного плану на затвердження Ананьївській міській раді.</w:t>
      </w:r>
    </w:p>
    <w:p w:rsidR="002E6DA7" w:rsidRPr="000D023E" w:rsidRDefault="002E6DA7" w:rsidP="00C06B10">
      <w:pPr>
        <w:numPr>
          <w:ilvl w:val="1"/>
          <w:numId w:val="1"/>
        </w:numPr>
        <w:tabs>
          <w:tab w:val="left" w:pos="709"/>
          <w:tab w:val="left" w:pos="1134"/>
          <w:tab w:val="left" w:pos="1418"/>
        </w:tabs>
        <w:ind w:left="0" w:firstLine="709"/>
        <w:jc w:val="both"/>
        <w:rPr>
          <w:sz w:val="28"/>
          <w:szCs w:val="28"/>
          <w:lang w:val="uk-UA" w:eastAsia="en-US"/>
        </w:rPr>
      </w:pPr>
      <w:r w:rsidRPr="000D023E">
        <w:rPr>
          <w:sz w:val="28"/>
          <w:szCs w:val="28"/>
          <w:lang w:val="uk-UA" w:eastAsia="en-US"/>
        </w:rPr>
        <w:t>Протягом п’яти робочих днів з дня затвердження Комплексного плану забезпечити внесення до Державного земельного кадастру та містобудівного кадастру відомостей про його об’єкти, що складають проектні рішення.</w:t>
      </w:r>
    </w:p>
    <w:p w:rsidR="002E6DA7" w:rsidRPr="000D023E" w:rsidRDefault="002E6DA7" w:rsidP="00C06B10">
      <w:pPr>
        <w:numPr>
          <w:ilvl w:val="0"/>
          <w:numId w:val="1"/>
        </w:numPr>
        <w:tabs>
          <w:tab w:val="left" w:pos="709"/>
          <w:tab w:val="left" w:pos="1134"/>
          <w:tab w:val="left" w:pos="1418"/>
        </w:tabs>
        <w:ind w:left="0" w:firstLine="709"/>
        <w:jc w:val="both"/>
        <w:rPr>
          <w:sz w:val="28"/>
          <w:szCs w:val="28"/>
          <w:lang w:val="uk-UA" w:eastAsia="en-US"/>
        </w:rPr>
      </w:pPr>
      <w:r w:rsidRPr="000D023E">
        <w:rPr>
          <w:spacing w:val="-11"/>
          <w:sz w:val="28"/>
          <w:szCs w:val="28"/>
          <w:lang w:val="uk-UA" w:eastAsia="en-US"/>
        </w:rPr>
        <w:lastRenderedPageBreak/>
        <w:t xml:space="preserve">Контроль за виконанням рішення покласти на постійну комісію Ананьївської міської ради </w:t>
      </w:r>
      <w:r w:rsidRPr="000D023E">
        <w:rPr>
          <w:spacing w:val="-4"/>
          <w:sz w:val="28"/>
          <w:szCs w:val="28"/>
          <w:lang w:val="uk-UA" w:eastAsia="en-US"/>
        </w:rPr>
        <w:t>з питань земельних відносин, природокористування, планування територій, будівництва, архітектури, охорони пам’яток, історичного середовища та благоустрою</w:t>
      </w:r>
      <w:r w:rsidRPr="000D023E">
        <w:rPr>
          <w:sz w:val="28"/>
          <w:szCs w:val="28"/>
          <w:lang w:val="uk-UA" w:eastAsia="en-US"/>
        </w:rPr>
        <w:t>.</w:t>
      </w:r>
    </w:p>
    <w:p w:rsidR="002E6DA7" w:rsidRPr="003B42BE" w:rsidRDefault="002E6DA7" w:rsidP="00C06B10">
      <w:pPr>
        <w:tabs>
          <w:tab w:val="left" w:pos="709"/>
          <w:tab w:val="left" w:pos="1134"/>
          <w:tab w:val="left" w:pos="1418"/>
        </w:tabs>
        <w:ind w:firstLine="709"/>
        <w:jc w:val="both"/>
        <w:rPr>
          <w:lang w:val="uk-UA" w:eastAsia="en-US"/>
        </w:rPr>
      </w:pPr>
    </w:p>
    <w:p w:rsidR="002E6DA7" w:rsidRDefault="002E6DA7" w:rsidP="00C06B10">
      <w:pPr>
        <w:tabs>
          <w:tab w:val="left" w:pos="0"/>
        </w:tabs>
        <w:jc w:val="both"/>
        <w:rPr>
          <w:lang w:val="uk-UA" w:eastAsia="en-US"/>
        </w:rPr>
      </w:pPr>
    </w:p>
    <w:p w:rsidR="003B42BE" w:rsidRPr="003B42BE" w:rsidRDefault="003B42BE" w:rsidP="00C06B10">
      <w:pPr>
        <w:tabs>
          <w:tab w:val="left" w:pos="0"/>
        </w:tabs>
        <w:jc w:val="both"/>
        <w:rPr>
          <w:lang w:val="uk-UA" w:eastAsia="en-US"/>
        </w:rPr>
      </w:pPr>
    </w:p>
    <w:p w:rsidR="002E6DA7" w:rsidRPr="00C06B10" w:rsidRDefault="002E6DA7" w:rsidP="00C06B10">
      <w:pPr>
        <w:tabs>
          <w:tab w:val="left" w:pos="709"/>
          <w:tab w:val="left" w:pos="1134"/>
          <w:tab w:val="left" w:pos="1418"/>
        </w:tabs>
        <w:jc w:val="both"/>
        <w:rPr>
          <w:b/>
          <w:sz w:val="28"/>
          <w:szCs w:val="28"/>
          <w:lang w:val="uk-UA" w:eastAsia="en-US"/>
        </w:rPr>
      </w:pPr>
      <w:r w:rsidRPr="00C06B10">
        <w:rPr>
          <w:b/>
          <w:sz w:val="28"/>
          <w:szCs w:val="28"/>
          <w:lang w:eastAsia="en-US"/>
        </w:rPr>
        <w:t xml:space="preserve">Ананьївський </w:t>
      </w:r>
      <w:r w:rsidRPr="00C06B10">
        <w:rPr>
          <w:b/>
          <w:sz w:val="28"/>
          <w:szCs w:val="28"/>
          <w:lang w:val="uk-UA" w:eastAsia="en-US"/>
        </w:rPr>
        <w:t>міський</w:t>
      </w:r>
      <w:r w:rsidR="00C06B10">
        <w:rPr>
          <w:b/>
          <w:sz w:val="28"/>
          <w:szCs w:val="28"/>
          <w:lang w:eastAsia="en-US"/>
        </w:rPr>
        <w:t xml:space="preserve"> голова</w:t>
      </w:r>
      <w:r w:rsidR="00C06B10">
        <w:rPr>
          <w:b/>
          <w:sz w:val="28"/>
          <w:szCs w:val="28"/>
          <w:lang w:eastAsia="en-US"/>
        </w:rPr>
        <w:tab/>
      </w:r>
      <w:r w:rsidR="00C06B10">
        <w:rPr>
          <w:b/>
          <w:sz w:val="28"/>
          <w:szCs w:val="28"/>
          <w:lang w:eastAsia="en-US"/>
        </w:rPr>
        <w:tab/>
      </w:r>
      <w:r w:rsidR="00C06B10">
        <w:rPr>
          <w:b/>
          <w:sz w:val="28"/>
          <w:szCs w:val="28"/>
          <w:lang w:eastAsia="en-US"/>
        </w:rPr>
        <w:tab/>
      </w:r>
      <w:r w:rsidRPr="00C06B10">
        <w:rPr>
          <w:b/>
          <w:sz w:val="28"/>
          <w:szCs w:val="28"/>
          <w:lang w:eastAsia="en-US"/>
        </w:rPr>
        <w:tab/>
      </w:r>
      <w:r w:rsidR="00C06B10">
        <w:rPr>
          <w:b/>
          <w:sz w:val="28"/>
          <w:szCs w:val="28"/>
          <w:lang w:val="uk-UA" w:eastAsia="en-US"/>
        </w:rPr>
        <w:t xml:space="preserve">  </w:t>
      </w:r>
      <w:r w:rsidR="00C44984">
        <w:rPr>
          <w:b/>
          <w:sz w:val="28"/>
          <w:szCs w:val="28"/>
          <w:lang w:val="uk-UA" w:eastAsia="en-US"/>
        </w:rPr>
        <w:t xml:space="preserve">     </w:t>
      </w:r>
      <w:r w:rsidR="00C06B10">
        <w:rPr>
          <w:b/>
          <w:sz w:val="28"/>
          <w:szCs w:val="28"/>
          <w:lang w:val="uk-UA" w:eastAsia="en-US"/>
        </w:rPr>
        <w:t xml:space="preserve">  </w:t>
      </w:r>
      <w:r w:rsidRPr="00C06B10">
        <w:rPr>
          <w:b/>
          <w:sz w:val="28"/>
          <w:szCs w:val="28"/>
          <w:lang w:eastAsia="en-US"/>
        </w:rPr>
        <w:t>Юрій ТИЩЕНКО</w:t>
      </w:r>
    </w:p>
    <w:p w:rsidR="00FA0190" w:rsidRDefault="00FA0190"/>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0A7E3A" w:rsidRDefault="000A7E3A"/>
    <w:p w:rsidR="00903C60" w:rsidRDefault="00903C60" w:rsidP="00903C60">
      <w:pPr>
        <w:spacing w:line="276" w:lineRule="auto"/>
        <w:ind w:left="6009"/>
        <w:jc w:val="both"/>
        <w:rPr>
          <w:sz w:val="28"/>
          <w:szCs w:val="28"/>
          <w:lang w:val="uk-UA" w:eastAsia="en-US"/>
        </w:rPr>
      </w:pPr>
    </w:p>
    <w:p w:rsidR="00903C60" w:rsidRDefault="00903C60" w:rsidP="00903C60">
      <w:pPr>
        <w:spacing w:line="276" w:lineRule="auto"/>
        <w:ind w:left="6009"/>
        <w:jc w:val="both"/>
        <w:rPr>
          <w:sz w:val="28"/>
          <w:szCs w:val="28"/>
          <w:lang w:val="uk-UA" w:eastAsia="en-US"/>
        </w:rPr>
      </w:pPr>
    </w:p>
    <w:p w:rsidR="00903C60" w:rsidRDefault="00903C60" w:rsidP="00903C60">
      <w:pPr>
        <w:spacing w:line="276" w:lineRule="auto"/>
        <w:ind w:left="6009"/>
        <w:jc w:val="both"/>
        <w:rPr>
          <w:sz w:val="28"/>
          <w:szCs w:val="28"/>
          <w:lang w:val="uk-UA" w:eastAsia="en-US"/>
        </w:rPr>
      </w:pPr>
    </w:p>
    <w:p w:rsidR="003D4158" w:rsidRDefault="003D4158" w:rsidP="00903C60">
      <w:pPr>
        <w:spacing w:line="276" w:lineRule="auto"/>
        <w:ind w:left="6009"/>
        <w:jc w:val="both"/>
        <w:rPr>
          <w:sz w:val="28"/>
          <w:szCs w:val="28"/>
          <w:lang w:val="uk-UA" w:eastAsia="en-US"/>
        </w:rPr>
      </w:pPr>
    </w:p>
    <w:p w:rsidR="00E07929" w:rsidRDefault="000A7E3A" w:rsidP="00903C60">
      <w:pPr>
        <w:spacing w:line="276" w:lineRule="auto"/>
        <w:ind w:left="6009"/>
        <w:jc w:val="both"/>
        <w:rPr>
          <w:sz w:val="28"/>
          <w:szCs w:val="28"/>
          <w:lang w:val="uk-UA" w:eastAsia="en-US"/>
        </w:rPr>
      </w:pPr>
      <w:r w:rsidRPr="000A7E3A">
        <w:rPr>
          <w:sz w:val="28"/>
          <w:szCs w:val="28"/>
          <w:lang w:val="uk-UA" w:eastAsia="en-US"/>
        </w:rPr>
        <w:lastRenderedPageBreak/>
        <w:t>Додаток</w:t>
      </w:r>
    </w:p>
    <w:p w:rsidR="00903C60" w:rsidRDefault="00903C60" w:rsidP="00903C60">
      <w:pPr>
        <w:spacing w:line="276" w:lineRule="auto"/>
        <w:ind w:left="6009"/>
        <w:jc w:val="both"/>
        <w:rPr>
          <w:sz w:val="28"/>
          <w:szCs w:val="28"/>
          <w:lang w:val="uk-UA" w:eastAsia="en-US"/>
        </w:rPr>
      </w:pPr>
      <w:r>
        <w:rPr>
          <w:sz w:val="28"/>
          <w:szCs w:val="28"/>
          <w:lang w:val="uk-UA" w:eastAsia="en-US"/>
        </w:rPr>
        <w:t>д</w:t>
      </w:r>
      <w:r w:rsidR="000A7E3A" w:rsidRPr="000A7E3A">
        <w:rPr>
          <w:sz w:val="28"/>
          <w:szCs w:val="28"/>
          <w:lang w:val="uk-UA" w:eastAsia="en-US"/>
        </w:rPr>
        <w:t>о</w:t>
      </w:r>
      <w:r w:rsidR="00E07929">
        <w:rPr>
          <w:sz w:val="28"/>
          <w:szCs w:val="28"/>
          <w:lang w:val="uk-UA" w:eastAsia="en-US"/>
        </w:rPr>
        <w:t xml:space="preserve"> </w:t>
      </w:r>
      <w:r w:rsidR="000A7E3A" w:rsidRPr="000A7E3A">
        <w:rPr>
          <w:sz w:val="28"/>
          <w:szCs w:val="28"/>
          <w:lang w:val="uk-UA" w:eastAsia="en-US"/>
        </w:rPr>
        <w:t>рішення Ананьївської міської</w:t>
      </w:r>
      <w:r>
        <w:rPr>
          <w:sz w:val="28"/>
          <w:szCs w:val="28"/>
          <w:lang w:val="uk-UA" w:eastAsia="en-US"/>
        </w:rPr>
        <w:t xml:space="preserve"> </w:t>
      </w:r>
      <w:r w:rsidR="000A7E3A" w:rsidRPr="000A7E3A">
        <w:rPr>
          <w:sz w:val="28"/>
          <w:szCs w:val="28"/>
          <w:lang w:val="uk-UA" w:eastAsia="en-US"/>
        </w:rPr>
        <w:t xml:space="preserve">ради </w:t>
      </w:r>
    </w:p>
    <w:p w:rsidR="000A7E3A" w:rsidRDefault="00903C60" w:rsidP="00903C60">
      <w:pPr>
        <w:spacing w:line="276" w:lineRule="auto"/>
        <w:ind w:left="6009"/>
        <w:jc w:val="both"/>
        <w:rPr>
          <w:rFonts w:eastAsia="Calibri"/>
          <w:sz w:val="28"/>
          <w:szCs w:val="28"/>
          <w:lang w:val="uk-UA" w:eastAsia="en-US"/>
        </w:rPr>
      </w:pPr>
      <w:r>
        <w:rPr>
          <w:sz w:val="28"/>
          <w:szCs w:val="28"/>
          <w:lang w:val="uk-UA" w:eastAsia="en-US"/>
        </w:rPr>
        <w:t xml:space="preserve">від </w:t>
      </w:r>
      <w:r w:rsidRPr="00744DA5">
        <w:rPr>
          <w:rFonts w:eastAsia="Calibri"/>
          <w:sz w:val="28"/>
          <w:szCs w:val="28"/>
          <w:lang w:val="uk-UA" w:eastAsia="en-US"/>
        </w:rPr>
        <w:t>04 березня 2022 року</w:t>
      </w:r>
      <w:r w:rsidRPr="00744DA5">
        <w:rPr>
          <w:rFonts w:eastAsia="Calibri"/>
          <w:sz w:val="28"/>
          <w:szCs w:val="28"/>
          <w:lang w:val="uk-UA" w:eastAsia="en-US"/>
        </w:rPr>
        <w:tab/>
      </w:r>
    </w:p>
    <w:p w:rsidR="00903C60" w:rsidRPr="00744DA5" w:rsidRDefault="00903C60" w:rsidP="00903C60">
      <w:pPr>
        <w:ind w:left="5954"/>
        <w:jc w:val="both"/>
        <w:rPr>
          <w:rFonts w:eastAsia="Calibri"/>
          <w:sz w:val="28"/>
          <w:szCs w:val="28"/>
          <w:lang w:val="uk-UA" w:eastAsia="en-US"/>
        </w:rPr>
      </w:pPr>
      <w:r>
        <w:rPr>
          <w:rFonts w:eastAsia="Calibri"/>
          <w:sz w:val="28"/>
          <w:szCs w:val="28"/>
          <w:lang w:val="uk-UA" w:eastAsia="en-US"/>
        </w:rPr>
        <w:t xml:space="preserve"> </w:t>
      </w:r>
      <w:r w:rsidRPr="00744DA5">
        <w:rPr>
          <w:rFonts w:eastAsia="Calibri"/>
          <w:sz w:val="28"/>
          <w:szCs w:val="28"/>
          <w:lang w:val="uk-UA" w:eastAsia="en-US"/>
        </w:rPr>
        <w:t>№        -</w:t>
      </w:r>
      <w:r w:rsidRPr="00744DA5">
        <w:rPr>
          <w:rFonts w:eastAsia="Calibri"/>
          <w:sz w:val="28"/>
          <w:szCs w:val="28"/>
          <w:lang w:val="en-US" w:eastAsia="en-US"/>
        </w:rPr>
        <w:t>V</w:t>
      </w:r>
      <w:r w:rsidRPr="00744DA5">
        <w:rPr>
          <w:rFonts w:eastAsia="Calibri"/>
          <w:sz w:val="28"/>
          <w:szCs w:val="28"/>
          <w:lang w:val="uk-UA" w:eastAsia="en-US"/>
        </w:rPr>
        <w:t>ІІІ</w:t>
      </w:r>
    </w:p>
    <w:p w:rsidR="00903C60" w:rsidRDefault="00903C60" w:rsidP="00903C60">
      <w:pPr>
        <w:spacing w:line="276" w:lineRule="auto"/>
        <w:ind w:left="6009"/>
        <w:jc w:val="both"/>
        <w:rPr>
          <w:rFonts w:eastAsia="Calibri"/>
          <w:sz w:val="28"/>
          <w:szCs w:val="28"/>
          <w:lang w:val="uk-UA" w:eastAsia="en-US"/>
        </w:rPr>
      </w:pPr>
    </w:p>
    <w:p w:rsidR="00903C60" w:rsidRPr="000A7E3A" w:rsidRDefault="00903C60" w:rsidP="00903C60">
      <w:pPr>
        <w:spacing w:line="276" w:lineRule="auto"/>
        <w:ind w:left="6009"/>
        <w:jc w:val="both"/>
        <w:rPr>
          <w:sz w:val="28"/>
          <w:szCs w:val="28"/>
          <w:lang w:val="uk-UA" w:eastAsia="en-US"/>
        </w:rPr>
      </w:pPr>
    </w:p>
    <w:p w:rsidR="000A7E3A" w:rsidRPr="00903C60" w:rsidRDefault="000A7E3A" w:rsidP="000A7E3A">
      <w:pPr>
        <w:spacing w:after="200" w:line="276" w:lineRule="auto"/>
        <w:jc w:val="center"/>
        <w:rPr>
          <w:b/>
          <w:sz w:val="28"/>
          <w:szCs w:val="28"/>
          <w:lang w:val="uk-UA" w:eastAsia="en-US"/>
        </w:rPr>
      </w:pPr>
      <w:r w:rsidRPr="000A7E3A">
        <w:rPr>
          <w:b/>
          <w:sz w:val="28"/>
          <w:szCs w:val="28"/>
          <w:lang w:val="uk-UA" w:eastAsia="en-US"/>
        </w:rPr>
        <w:t>ПОЛ</w:t>
      </w:r>
      <w:r w:rsidR="001B3B07">
        <w:rPr>
          <w:b/>
          <w:sz w:val="28"/>
          <w:szCs w:val="28"/>
          <w:lang w:val="uk-UA" w:eastAsia="en-US"/>
        </w:rPr>
        <w:t>О</w:t>
      </w:r>
      <w:r w:rsidRPr="000A7E3A">
        <w:rPr>
          <w:b/>
          <w:sz w:val="28"/>
          <w:szCs w:val="28"/>
          <w:lang w:val="uk-UA" w:eastAsia="en-US"/>
        </w:rPr>
        <w:t xml:space="preserve">ЖЕННЯ </w:t>
      </w:r>
    </w:p>
    <w:p w:rsidR="000A7E3A" w:rsidRPr="00903C60" w:rsidRDefault="000A7E3A" w:rsidP="00903C60">
      <w:pPr>
        <w:spacing w:line="276" w:lineRule="auto"/>
        <w:jc w:val="center"/>
        <w:rPr>
          <w:b/>
          <w:sz w:val="28"/>
          <w:szCs w:val="28"/>
          <w:lang w:val="uk-UA" w:eastAsia="en-US"/>
        </w:rPr>
      </w:pPr>
      <w:r w:rsidRPr="000A7E3A">
        <w:rPr>
          <w:b/>
          <w:sz w:val="28"/>
          <w:szCs w:val="28"/>
          <w:lang w:val="uk-UA" w:eastAsia="en-US"/>
        </w:rPr>
        <w:t xml:space="preserve">про робочу групу з розробки </w:t>
      </w:r>
      <w:proofErr w:type="spellStart"/>
      <w:r w:rsidRPr="000A7E3A">
        <w:rPr>
          <w:b/>
          <w:sz w:val="28"/>
          <w:szCs w:val="28"/>
          <w:lang w:val="uk-UA" w:eastAsia="en-US"/>
        </w:rPr>
        <w:t>проєкту</w:t>
      </w:r>
      <w:proofErr w:type="spellEnd"/>
      <w:r w:rsidRPr="000A7E3A">
        <w:rPr>
          <w:b/>
          <w:sz w:val="28"/>
          <w:szCs w:val="28"/>
          <w:lang w:val="uk-UA" w:eastAsia="en-US"/>
        </w:rPr>
        <w:t xml:space="preserve"> </w:t>
      </w:r>
      <w:r w:rsidR="001B3B07">
        <w:rPr>
          <w:b/>
          <w:sz w:val="28"/>
          <w:szCs w:val="28"/>
          <w:lang w:val="uk-UA" w:eastAsia="en-US"/>
        </w:rPr>
        <w:t>«</w:t>
      </w:r>
      <w:r w:rsidRPr="000A7E3A">
        <w:rPr>
          <w:b/>
          <w:sz w:val="28"/>
          <w:szCs w:val="28"/>
          <w:lang w:val="uk-UA" w:eastAsia="en-US"/>
        </w:rPr>
        <w:t>Комплексний план просторового розвитку Ананьївської</w:t>
      </w:r>
      <w:r w:rsidR="00903C60" w:rsidRPr="00903C60">
        <w:rPr>
          <w:b/>
          <w:sz w:val="28"/>
          <w:szCs w:val="28"/>
          <w:lang w:val="uk-UA" w:eastAsia="en-US"/>
        </w:rPr>
        <w:t xml:space="preserve"> міської територіальної громади</w:t>
      </w:r>
      <w:r w:rsidR="001B3B07">
        <w:rPr>
          <w:b/>
          <w:sz w:val="28"/>
          <w:szCs w:val="28"/>
          <w:lang w:val="uk-UA" w:eastAsia="en-US"/>
        </w:rPr>
        <w:t>»</w:t>
      </w:r>
    </w:p>
    <w:p w:rsidR="00903C60" w:rsidRPr="000A7E3A" w:rsidRDefault="00903C60" w:rsidP="00903C60">
      <w:pPr>
        <w:spacing w:line="276" w:lineRule="auto"/>
        <w:ind w:firstLine="709"/>
        <w:jc w:val="center"/>
        <w:rPr>
          <w:sz w:val="28"/>
          <w:szCs w:val="28"/>
          <w:lang w:val="uk-UA" w:eastAsia="en-US"/>
        </w:rPr>
      </w:pPr>
    </w:p>
    <w:p w:rsidR="000A7E3A" w:rsidRPr="000A7E3A" w:rsidRDefault="003D4158" w:rsidP="00903C60">
      <w:pPr>
        <w:numPr>
          <w:ilvl w:val="0"/>
          <w:numId w:val="2"/>
        </w:numPr>
        <w:spacing w:line="276" w:lineRule="auto"/>
        <w:ind w:left="0" w:firstLine="709"/>
        <w:jc w:val="both"/>
        <w:rPr>
          <w:b/>
          <w:sz w:val="28"/>
          <w:szCs w:val="28"/>
          <w:lang w:val="uk-UA" w:eastAsia="en-US"/>
        </w:rPr>
      </w:pPr>
      <w:r>
        <w:rPr>
          <w:b/>
          <w:sz w:val="28"/>
          <w:szCs w:val="28"/>
          <w:lang w:val="uk-UA" w:eastAsia="en-US"/>
        </w:rPr>
        <w:t>Загальні положення</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xml:space="preserve">Робоча група створюється з метою розробки </w:t>
      </w:r>
      <w:proofErr w:type="spellStart"/>
      <w:r w:rsidRPr="003D4158">
        <w:rPr>
          <w:sz w:val="28"/>
          <w:szCs w:val="28"/>
          <w:lang w:val="uk-UA" w:eastAsia="en-US"/>
        </w:rPr>
        <w:t>проєкту</w:t>
      </w:r>
      <w:proofErr w:type="spellEnd"/>
      <w:r w:rsidR="001B3B07" w:rsidRPr="003D4158">
        <w:rPr>
          <w:sz w:val="28"/>
          <w:szCs w:val="28"/>
          <w:lang w:val="uk-UA" w:eastAsia="en-US"/>
        </w:rPr>
        <w:t xml:space="preserve"> «Комплексний план</w:t>
      </w:r>
      <w:r w:rsidRPr="003D4158">
        <w:rPr>
          <w:sz w:val="28"/>
          <w:szCs w:val="28"/>
          <w:lang w:val="uk-UA" w:eastAsia="en-US"/>
        </w:rPr>
        <w:t xml:space="preserve"> просторового розвитку території Ананьївської міської територіальної громади» (далі</w:t>
      </w:r>
      <w:r w:rsidR="001B3B07" w:rsidRPr="003D4158">
        <w:rPr>
          <w:sz w:val="28"/>
          <w:szCs w:val="28"/>
          <w:lang w:val="uk-UA" w:eastAsia="en-US"/>
        </w:rPr>
        <w:t xml:space="preserve"> - Комплексний</w:t>
      </w:r>
      <w:r w:rsidRPr="003D4158">
        <w:rPr>
          <w:sz w:val="28"/>
          <w:szCs w:val="28"/>
          <w:lang w:val="uk-UA" w:eastAsia="en-US"/>
        </w:rPr>
        <w:t xml:space="preserve"> план). Робоча група формується з представників міської ради, виконавчих органів міської ради, органів державної влади, державних та комунальних підприємств, установ, організацій, органів самоорганізації населення, громадських організацій, інших заінтересованих сторін у складі не менше як п’ять осіб і не більш як 21 особа, з непарною кількістю членів. Забезпечується участь у Робочій групі принаймні одного представника від кожного з населених пунктів, розташованих на території Ананьївської міської територіальної громади, який не є співробітником виконавчого органу Ананьївської міської ради. Допускається представлення одним членом робочої групи інтересів кількох сіл територіальної громади, зокрема тих, які заходяться в одному старостаті. Склад робочої групи затверджується рішення Ананьївської міської ради. Робоча група працює постійно, на засадах повної добровільності, самовідданості та безкорисливості. До складу Робочої групи можуть входити робочі підгрупи, комісії, фокусні групи. Умови їх діяльності та склад визначаються окремо рішенням Робочої групи.</w:t>
      </w:r>
    </w:p>
    <w:p w:rsidR="00903C60" w:rsidRPr="000A7E3A" w:rsidRDefault="00903C60" w:rsidP="00903C60">
      <w:pPr>
        <w:spacing w:line="276" w:lineRule="auto"/>
        <w:ind w:firstLine="709"/>
        <w:jc w:val="both"/>
        <w:rPr>
          <w:sz w:val="28"/>
          <w:szCs w:val="28"/>
          <w:lang w:val="uk-UA" w:eastAsia="en-US"/>
        </w:rPr>
      </w:pPr>
    </w:p>
    <w:p w:rsidR="000A7E3A" w:rsidRPr="000A7E3A" w:rsidRDefault="003D4158" w:rsidP="00903C60">
      <w:pPr>
        <w:numPr>
          <w:ilvl w:val="0"/>
          <w:numId w:val="2"/>
        </w:numPr>
        <w:spacing w:line="276" w:lineRule="auto"/>
        <w:ind w:left="0" w:firstLine="709"/>
        <w:jc w:val="both"/>
        <w:rPr>
          <w:b/>
          <w:sz w:val="28"/>
          <w:szCs w:val="28"/>
          <w:lang w:val="uk-UA" w:eastAsia="en-US"/>
        </w:rPr>
      </w:pPr>
      <w:r>
        <w:rPr>
          <w:b/>
          <w:sz w:val="28"/>
          <w:szCs w:val="28"/>
          <w:lang w:val="uk-UA" w:eastAsia="en-US"/>
        </w:rPr>
        <w:t>Функції</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Робоча група в процесі діяльності:</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визначає загальні пріоритети просторового розвитку територіальної громади;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визначає напрями і пріоритети своєї роботи;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розробляє план дій для реалізації Комплексного плану;</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визначає проблеми та можливості соціального та економічного розвитку громади;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визначає просторово-планувальну організацію території;</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проводить аналіз сильних та слабких сторін, можливостей та загроз у розвитку громади;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визначає пріоритетні напрями розвитку території громади;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організовує роботу із засобами масової інформації;</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lastRenderedPageBreak/>
        <w:t>- розробляє положення про робочі підгрупи, комісії, фокусні групи та організовує їх роботу;</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затверджує теми соціальних досліджень;</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залучає до роботи фахівців та спеціалістів з обговорюваних питань;</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бере участь у розробці Комплексного плану та проведення громадських слухань щодо складання завдання на розробку Комплексного плану та його затвердження.</w:t>
      </w:r>
    </w:p>
    <w:p w:rsidR="00903C60" w:rsidRPr="000A7E3A" w:rsidRDefault="00903C60" w:rsidP="00903C60">
      <w:pPr>
        <w:spacing w:line="276" w:lineRule="auto"/>
        <w:ind w:firstLine="709"/>
        <w:jc w:val="both"/>
        <w:rPr>
          <w:sz w:val="28"/>
          <w:szCs w:val="28"/>
          <w:lang w:val="uk-UA" w:eastAsia="en-US"/>
        </w:rPr>
      </w:pPr>
    </w:p>
    <w:p w:rsidR="000A7E3A" w:rsidRPr="000A7E3A" w:rsidRDefault="000A7E3A" w:rsidP="00903C60">
      <w:pPr>
        <w:spacing w:line="276" w:lineRule="auto"/>
        <w:ind w:firstLine="709"/>
        <w:jc w:val="both"/>
        <w:rPr>
          <w:b/>
          <w:sz w:val="28"/>
          <w:szCs w:val="28"/>
          <w:lang w:val="uk-UA" w:eastAsia="en-US"/>
        </w:rPr>
      </w:pPr>
      <w:r w:rsidRPr="000A7E3A">
        <w:rPr>
          <w:b/>
          <w:sz w:val="28"/>
          <w:szCs w:val="28"/>
          <w:lang w:val="uk-UA" w:eastAsia="en-US"/>
        </w:rPr>
        <w:t xml:space="preserve">3. Повноваження, правові гарантії діяльності робочої </w:t>
      </w:r>
      <w:r w:rsidR="003D4158">
        <w:rPr>
          <w:b/>
          <w:sz w:val="28"/>
          <w:szCs w:val="28"/>
          <w:lang w:val="uk-UA" w:eastAsia="en-US"/>
        </w:rPr>
        <w:t>групи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xml:space="preserve">Організація роботи робочої групи покладається на керівника робочої групи, його заступника та секретаря. Керівник </w:t>
      </w:r>
      <w:proofErr w:type="spellStart"/>
      <w:r w:rsidRPr="003D4158">
        <w:rPr>
          <w:sz w:val="28"/>
          <w:szCs w:val="28"/>
          <w:lang w:val="uk-UA" w:eastAsia="en-US"/>
        </w:rPr>
        <w:t>скликає</w:t>
      </w:r>
      <w:proofErr w:type="spellEnd"/>
      <w:r w:rsidRPr="003D4158">
        <w:rPr>
          <w:sz w:val="28"/>
          <w:szCs w:val="28"/>
          <w:lang w:val="uk-UA" w:eastAsia="en-US"/>
        </w:rPr>
        <w:t xml:space="preserve"> та веде засідання групи, дає доручення членам групи, представляє групу у відносинах з іншими органами, об’єднаннями громадян, підприємств, установ та організацій. Організовує роботу по реалізації висновків та рекомендацій робочої групи. У разі відсутності керівника групи або неможливості ним виконувати своїх повноважень, головні його функції здійснює заступник керівника, або секретар. Засідання робочої є правомочним, якщо в роботі бере участь не менш як половина від загального складу групи. За результатами розгляду і вивчення питань Робоча група має право:</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отримувати інформацію, необхідну для розробки Комплексного плану в організаціях, установах громади, незалежно від їх відомчого підпорядкування, форми власності та господарювання;</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проводити опитування громадян чи проводити іншу діяльність до вивчення громадської думки щодо Комплексного плану;</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проводити роз’яснювальну роботу серед жителів громади з питань розробки і втілення Комплексного плану та зазначення його необхідності;</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 xml:space="preserve">- брати участь у підготовці і проведенні громадських </w:t>
      </w:r>
      <w:r w:rsidR="00903C60" w:rsidRPr="003D4158">
        <w:rPr>
          <w:sz w:val="28"/>
          <w:szCs w:val="28"/>
          <w:lang w:val="uk-UA" w:eastAsia="en-US"/>
        </w:rPr>
        <w:t>слухань щодо Комплексного плану.</w:t>
      </w:r>
    </w:p>
    <w:p w:rsidR="00903C60" w:rsidRPr="000A7E3A" w:rsidRDefault="00903C60" w:rsidP="00903C60">
      <w:pPr>
        <w:spacing w:line="276" w:lineRule="auto"/>
        <w:ind w:firstLine="709"/>
        <w:jc w:val="both"/>
        <w:rPr>
          <w:sz w:val="28"/>
          <w:szCs w:val="28"/>
          <w:lang w:val="uk-UA" w:eastAsia="en-US"/>
        </w:rPr>
      </w:pPr>
    </w:p>
    <w:p w:rsidR="000A7E3A" w:rsidRPr="000A7E3A" w:rsidRDefault="000A7E3A" w:rsidP="00903C60">
      <w:pPr>
        <w:spacing w:line="276" w:lineRule="auto"/>
        <w:ind w:firstLine="709"/>
        <w:jc w:val="both"/>
        <w:rPr>
          <w:b/>
          <w:sz w:val="28"/>
          <w:szCs w:val="28"/>
          <w:lang w:val="uk-UA" w:eastAsia="en-US"/>
        </w:rPr>
      </w:pPr>
      <w:r w:rsidRPr="000A7E3A">
        <w:rPr>
          <w:b/>
          <w:sz w:val="28"/>
          <w:szCs w:val="28"/>
          <w:lang w:val="uk-UA" w:eastAsia="en-US"/>
        </w:rPr>
        <w:t>4. Обов’язки,</w:t>
      </w:r>
      <w:r w:rsidR="003D4158">
        <w:rPr>
          <w:b/>
          <w:sz w:val="28"/>
          <w:szCs w:val="28"/>
          <w:lang w:val="uk-UA" w:eastAsia="en-US"/>
        </w:rPr>
        <w:t xml:space="preserve"> відповідальність робочої групи</w:t>
      </w:r>
    </w:p>
    <w:p w:rsidR="000A7E3A" w:rsidRPr="003D4158" w:rsidRDefault="000A7E3A" w:rsidP="003D4158">
      <w:pPr>
        <w:pStyle w:val="a5"/>
        <w:ind w:firstLine="709"/>
        <w:jc w:val="both"/>
        <w:rPr>
          <w:sz w:val="28"/>
          <w:szCs w:val="28"/>
          <w:lang w:val="uk-UA" w:eastAsia="en-US"/>
        </w:rPr>
      </w:pPr>
      <w:r w:rsidRPr="003D4158">
        <w:rPr>
          <w:sz w:val="28"/>
          <w:szCs w:val="28"/>
          <w:lang w:val="uk-UA" w:eastAsia="en-US"/>
        </w:rPr>
        <w:t>Члени робочої групи виконують доручення керівника робочої групи в межах завдань Комплексного плану. Члени робочої групи несуть особисту відповідальність за достовірне і своєчасне опрацювання отриманих інформаційних та розрахункових документів і матеріалів, що стосуються виконання завдань щодо Комплексного плану.</w:t>
      </w:r>
      <w:bookmarkStart w:id="0" w:name="_GoBack"/>
      <w:bookmarkEnd w:id="0"/>
    </w:p>
    <w:sectPr w:rsidR="000A7E3A" w:rsidRPr="003D4158" w:rsidSect="00903C60">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A7F52"/>
    <w:multiLevelType w:val="multilevel"/>
    <w:tmpl w:val="0D40A2A4"/>
    <w:lvl w:ilvl="0">
      <w:start w:val="1"/>
      <w:numFmt w:val="decimal"/>
      <w:lvlText w:val="%1."/>
      <w:lvlJc w:val="left"/>
      <w:pPr>
        <w:ind w:left="928"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728" w:hanging="108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808" w:hanging="1440"/>
      </w:pPr>
      <w:rPr>
        <w:rFonts w:hint="default"/>
      </w:rPr>
    </w:lvl>
    <w:lvl w:ilvl="6">
      <w:start w:val="1"/>
      <w:numFmt w:val="decimal"/>
      <w:isLgl/>
      <w:lvlText w:val="%1.%2.%3.%4.%5.%6.%7."/>
      <w:lvlJc w:val="left"/>
      <w:pPr>
        <w:ind w:left="4528" w:hanging="1800"/>
      </w:pPr>
      <w:rPr>
        <w:rFonts w:hint="default"/>
      </w:rPr>
    </w:lvl>
    <w:lvl w:ilvl="7">
      <w:start w:val="1"/>
      <w:numFmt w:val="decimal"/>
      <w:isLgl/>
      <w:lvlText w:val="%1.%2.%3.%4.%5.%6.%7.%8."/>
      <w:lvlJc w:val="left"/>
      <w:pPr>
        <w:ind w:left="4888" w:hanging="1800"/>
      </w:pPr>
      <w:rPr>
        <w:rFonts w:hint="default"/>
      </w:rPr>
    </w:lvl>
    <w:lvl w:ilvl="8">
      <w:start w:val="1"/>
      <w:numFmt w:val="decimal"/>
      <w:isLgl/>
      <w:lvlText w:val="%1.%2.%3.%4.%5.%6.%7.%8.%9."/>
      <w:lvlJc w:val="left"/>
      <w:pPr>
        <w:ind w:left="5608" w:hanging="2160"/>
      </w:pPr>
      <w:rPr>
        <w:rFonts w:hint="default"/>
      </w:rPr>
    </w:lvl>
  </w:abstractNum>
  <w:abstractNum w:abstractNumId="1" w15:restartNumberingAfterBreak="0">
    <w:nsid w:val="30822933"/>
    <w:multiLevelType w:val="hybridMultilevel"/>
    <w:tmpl w:val="42925040"/>
    <w:lvl w:ilvl="0" w:tplc="E92E23C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76D"/>
    <w:rsid w:val="000A6722"/>
    <w:rsid w:val="000A7E3A"/>
    <w:rsid w:val="001B3B07"/>
    <w:rsid w:val="001F326C"/>
    <w:rsid w:val="002E6DA7"/>
    <w:rsid w:val="003B42BE"/>
    <w:rsid w:val="003D4158"/>
    <w:rsid w:val="003E3D36"/>
    <w:rsid w:val="005A0451"/>
    <w:rsid w:val="0060308F"/>
    <w:rsid w:val="00712275"/>
    <w:rsid w:val="00903C60"/>
    <w:rsid w:val="00B93E1B"/>
    <w:rsid w:val="00C06B10"/>
    <w:rsid w:val="00C44984"/>
    <w:rsid w:val="00E07929"/>
    <w:rsid w:val="00FA0190"/>
    <w:rsid w:val="00FA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CBEBF"/>
  <w15:docId w15:val="{9EBF3BAF-62CC-496C-A187-A686449A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DA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C06B10"/>
    <w:rPr>
      <w:rFonts w:ascii="Tahoma" w:hAnsi="Tahoma" w:cs="Tahoma"/>
      <w:sz w:val="16"/>
      <w:szCs w:val="16"/>
    </w:rPr>
  </w:style>
  <w:style w:type="character" w:customStyle="1" w:styleId="a4">
    <w:name w:val="Текст выноски Знак"/>
    <w:basedOn w:val="a0"/>
    <w:link w:val="a3"/>
    <w:rsid w:val="00C06B10"/>
    <w:rPr>
      <w:rFonts w:ascii="Tahoma" w:hAnsi="Tahoma" w:cs="Tahoma"/>
      <w:sz w:val="16"/>
      <w:szCs w:val="16"/>
    </w:rPr>
  </w:style>
  <w:style w:type="paragraph" w:styleId="a5">
    <w:name w:val="No Spacing"/>
    <w:uiPriority w:val="1"/>
    <w:qFormat/>
    <w:rsid w:val="003D415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5</Pages>
  <Words>5797</Words>
  <Characters>3305</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2022-02-17T11:57:00Z</cp:lastPrinted>
  <dcterms:created xsi:type="dcterms:W3CDTF">2022-02-17T11:26:00Z</dcterms:created>
  <dcterms:modified xsi:type="dcterms:W3CDTF">2022-02-22T08:16:00Z</dcterms:modified>
</cp:coreProperties>
</file>