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393" w:rsidRDefault="004A5276" w:rsidP="005B7393">
      <w:pPr>
        <w:shd w:val="clear" w:color="auto" w:fill="FFFFFF"/>
        <w:tabs>
          <w:tab w:val="left" w:leader="hyphen" w:pos="1560"/>
        </w:tabs>
        <w:suppressAutoHyphens/>
        <w:jc w:val="center"/>
        <w:rPr>
          <w:b/>
          <w:spacing w:val="-1"/>
          <w:sz w:val="32"/>
          <w:szCs w:val="32"/>
          <w:lang w:val="uk-UA" w:eastAsia="ar-SA"/>
        </w:rPr>
      </w:pPr>
      <w:r>
        <w:rPr>
          <w:b/>
          <w:spacing w:val="-1"/>
          <w:sz w:val="32"/>
          <w:szCs w:val="32"/>
          <w:lang w:val="uk-UA" w:eastAsia="ar-SA"/>
        </w:rPr>
        <w:t xml:space="preserve"> </w:t>
      </w:r>
      <w:r w:rsidR="005B7393">
        <w:rPr>
          <w:b/>
          <w:noProof/>
          <w:sz w:val="28"/>
          <w:szCs w:val="28"/>
        </w:rPr>
        <w:drawing>
          <wp:inline distT="0" distB="0" distL="0" distR="0" wp14:anchorId="2F526092" wp14:editId="064F9E2E">
            <wp:extent cx="521335" cy="6946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335" cy="694690"/>
                    </a:xfrm>
                    <a:prstGeom prst="rect">
                      <a:avLst/>
                    </a:prstGeom>
                    <a:noFill/>
                    <a:ln>
                      <a:noFill/>
                    </a:ln>
                  </pic:spPr>
                </pic:pic>
              </a:graphicData>
            </a:graphic>
          </wp:inline>
        </w:drawing>
      </w:r>
    </w:p>
    <w:p w:rsidR="005B7393" w:rsidRDefault="005B7393" w:rsidP="005B7393">
      <w:pPr>
        <w:tabs>
          <w:tab w:val="center" w:pos="4931"/>
        </w:tabs>
        <w:suppressAutoHyphens/>
        <w:spacing w:after="120" w:line="200" w:lineRule="atLeast"/>
        <w:jc w:val="center"/>
        <w:rPr>
          <w:b/>
          <w:bCs/>
          <w:color w:val="000000"/>
          <w:sz w:val="32"/>
          <w:szCs w:val="32"/>
          <w:lang w:val="uk-UA" w:eastAsia="ar-SA"/>
        </w:rPr>
      </w:pPr>
      <w:r>
        <w:rPr>
          <w:b/>
          <w:bCs/>
          <w:color w:val="000000"/>
          <w:sz w:val="32"/>
          <w:szCs w:val="32"/>
          <w:lang w:val="uk-UA" w:eastAsia="ar-SA"/>
        </w:rPr>
        <w:t>АНАНЬЇВСЬКА МІСЬКА РАДА</w:t>
      </w:r>
    </w:p>
    <w:p w:rsidR="005B7393" w:rsidRDefault="005B7393" w:rsidP="005B7393">
      <w:pPr>
        <w:tabs>
          <w:tab w:val="center" w:pos="4931"/>
        </w:tabs>
        <w:suppressAutoHyphens/>
        <w:spacing w:line="200" w:lineRule="atLeast"/>
        <w:jc w:val="center"/>
        <w:rPr>
          <w:b/>
          <w:bCs/>
          <w:color w:val="000000"/>
          <w:sz w:val="28"/>
          <w:szCs w:val="28"/>
          <w:lang w:val="uk-UA" w:eastAsia="ar-SA"/>
        </w:rPr>
      </w:pPr>
      <w:r>
        <w:rPr>
          <w:b/>
          <w:bCs/>
          <w:color w:val="000000"/>
          <w:sz w:val="28"/>
          <w:szCs w:val="28"/>
          <w:lang w:val="uk-UA" w:eastAsia="ar-SA"/>
        </w:rPr>
        <w:t>ПРОЄКТ РІШЕННЯ</w:t>
      </w:r>
    </w:p>
    <w:p w:rsidR="005B7393" w:rsidRDefault="005B7393" w:rsidP="005B7393">
      <w:pPr>
        <w:tabs>
          <w:tab w:val="center" w:pos="4931"/>
        </w:tabs>
        <w:suppressAutoHyphens/>
        <w:spacing w:line="200" w:lineRule="atLeast"/>
        <w:jc w:val="center"/>
        <w:rPr>
          <w:b/>
          <w:bCs/>
          <w:color w:val="000000"/>
          <w:sz w:val="28"/>
          <w:szCs w:val="28"/>
          <w:lang w:val="uk-UA" w:eastAsia="ar-SA"/>
        </w:rPr>
      </w:pPr>
    </w:p>
    <w:p w:rsidR="005B7393" w:rsidRDefault="005B7393" w:rsidP="005B7393">
      <w:pPr>
        <w:jc w:val="both"/>
        <w:rPr>
          <w:rFonts w:eastAsia="Calibri"/>
          <w:sz w:val="28"/>
          <w:szCs w:val="28"/>
          <w:lang w:val="uk-UA" w:eastAsia="en-US"/>
        </w:rPr>
      </w:pPr>
      <w:r>
        <w:rPr>
          <w:rFonts w:eastAsia="Calibri"/>
          <w:sz w:val="28"/>
          <w:szCs w:val="28"/>
          <w:lang w:val="uk-UA" w:eastAsia="en-US"/>
        </w:rPr>
        <w:t>11 лютого 2022 року</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t xml:space="preserve">       №        -</w:t>
      </w:r>
      <w:r>
        <w:rPr>
          <w:rFonts w:eastAsia="Calibri"/>
          <w:sz w:val="28"/>
          <w:szCs w:val="28"/>
          <w:lang w:val="en-US" w:eastAsia="en-US"/>
        </w:rPr>
        <w:t>V</w:t>
      </w:r>
      <w:r>
        <w:rPr>
          <w:rFonts w:eastAsia="Calibri"/>
          <w:sz w:val="28"/>
          <w:szCs w:val="28"/>
          <w:lang w:val="uk-UA" w:eastAsia="en-US"/>
        </w:rPr>
        <w:t>ІІІ</w:t>
      </w:r>
    </w:p>
    <w:p w:rsidR="004B5D98" w:rsidRDefault="004B5D98" w:rsidP="005B7393">
      <w:pPr>
        <w:jc w:val="both"/>
        <w:rPr>
          <w:rFonts w:eastAsia="Calibri"/>
          <w:sz w:val="28"/>
          <w:szCs w:val="28"/>
          <w:lang w:val="uk-UA" w:eastAsia="en-US"/>
        </w:rPr>
      </w:pPr>
    </w:p>
    <w:p w:rsidR="00A23177" w:rsidRDefault="00A23177" w:rsidP="00A23177">
      <w:pPr>
        <w:jc w:val="center"/>
        <w:rPr>
          <w:b/>
          <w:sz w:val="28"/>
          <w:szCs w:val="28"/>
          <w:lang w:val="uk-UA"/>
        </w:rPr>
      </w:pPr>
      <w:r>
        <w:rPr>
          <w:b/>
          <w:sz w:val="28"/>
          <w:szCs w:val="28"/>
          <w:lang w:val="uk-UA"/>
        </w:rPr>
        <w:t>Про схвалення звіту щодо виконання бюджету</w:t>
      </w:r>
    </w:p>
    <w:p w:rsidR="00A23177" w:rsidRDefault="00A23177" w:rsidP="00A23177">
      <w:pPr>
        <w:jc w:val="center"/>
        <w:rPr>
          <w:b/>
          <w:sz w:val="28"/>
          <w:szCs w:val="28"/>
          <w:lang w:val="uk-UA"/>
        </w:rPr>
      </w:pPr>
      <w:r>
        <w:rPr>
          <w:b/>
          <w:sz w:val="28"/>
          <w:szCs w:val="28"/>
          <w:lang w:val="uk-UA"/>
        </w:rPr>
        <w:t xml:space="preserve"> Ананьївської міської територіальної громади</w:t>
      </w:r>
    </w:p>
    <w:p w:rsidR="00A23177" w:rsidRDefault="00A23177" w:rsidP="00A23177">
      <w:pPr>
        <w:jc w:val="center"/>
        <w:rPr>
          <w:b/>
          <w:sz w:val="28"/>
          <w:szCs w:val="28"/>
          <w:lang w:val="uk-UA"/>
        </w:rPr>
      </w:pPr>
      <w:r>
        <w:rPr>
          <w:b/>
          <w:sz w:val="28"/>
          <w:szCs w:val="28"/>
          <w:lang w:val="uk-UA"/>
        </w:rPr>
        <w:t>за 2021 рік</w:t>
      </w:r>
    </w:p>
    <w:p w:rsidR="00812545" w:rsidRPr="00812545" w:rsidRDefault="00812545" w:rsidP="00812545">
      <w:pPr>
        <w:suppressAutoHyphens/>
        <w:spacing w:line="200" w:lineRule="atLeast"/>
        <w:ind w:right="-1"/>
        <w:jc w:val="center"/>
        <w:rPr>
          <w:sz w:val="28"/>
          <w:szCs w:val="28"/>
          <w:u w:val="single"/>
          <w:lang w:val="uk-UA" w:eastAsia="ar-SA"/>
        </w:rPr>
      </w:pPr>
    </w:p>
    <w:p w:rsidR="00812545" w:rsidRDefault="00812545" w:rsidP="00812545">
      <w:pPr>
        <w:widowControl w:val="0"/>
        <w:suppressAutoHyphens/>
        <w:ind w:firstLine="709"/>
        <w:jc w:val="both"/>
        <w:rPr>
          <w:rFonts w:eastAsia="SimSun"/>
          <w:kern w:val="2"/>
          <w:sz w:val="28"/>
          <w:szCs w:val="28"/>
          <w:lang w:val="uk-UA" w:eastAsia="hi-IN" w:bidi="hi-IN"/>
        </w:rPr>
      </w:pPr>
      <w:r>
        <w:rPr>
          <w:rFonts w:eastAsia="SimSun" w:cs="Lucida Sans"/>
          <w:kern w:val="2"/>
          <w:sz w:val="28"/>
          <w:szCs w:val="28"/>
          <w:lang w:val="uk-UA" w:eastAsia="hi-IN" w:bidi="hi-IN"/>
        </w:rPr>
        <w:t>Відповідно до пункту 4 статті 80 Бюджетног</w:t>
      </w:r>
      <w:r w:rsidR="001938AC">
        <w:rPr>
          <w:rFonts w:eastAsia="SimSun" w:cs="Lucida Sans"/>
          <w:kern w:val="2"/>
          <w:sz w:val="28"/>
          <w:szCs w:val="28"/>
          <w:lang w:val="uk-UA" w:eastAsia="hi-IN" w:bidi="hi-IN"/>
        </w:rPr>
        <w:t xml:space="preserve">о кодексу України, на підставі </w:t>
      </w:r>
      <w:r w:rsidRPr="00812545">
        <w:rPr>
          <w:rFonts w:eastAsia="SimSun"/>
          <w:kern w:val="2"/>
          <w:sz w:val="28"/>
          <w:szCs w:val="28"/>
          <w:lang w:val="uk-UA" w:eastAsia="hi-IN" w:bidi="hi-IN"/>
        </w:rPr>
        <w:t>пункту 23 статті 26 Закону України «Про місцеве самоврядування в Україні», розглянувши звіт про виконання бюджету Ананьївської міської територіальної громади за 2021 рік, враховуючи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w:t>
      </w:r>
      <w:r w:rsidR="001938AC">
        <w:rPr>
          <w:rFonts w:eastAsia="SimSun"/>
          <w:kern w:val="2"/>
          <w:sz w:val="28"/>
          <w:szCs w:val="28"/>
          <w:lang w:val="uk-UA" w:eastAsia="hi-IN" w:bidi="hi-IN"/>
        </w:rPr>
        <w:t xml:space="preserve"> міжнародного співробітництва, </w:t>
      </w:r>
      <w:bookmarkStart w:id="0" w:name="_GoBack"/>
      <w:bookmarkEnd w:id="0"/>
      <w:r w:rsidRPr="00812545">
        <w:rPr>
          <w:rFonts w:eastAsia="SimSun"/>
          <w:kern w:val="2"/>
          <w:sz w:val="28"/>
          <w:szCs w:val="28"/>
          <w:lang w:val="uk-UA" w:eastAsia="hi-IN" w:bidi="hi-IN"/>
        </w:rPr>
        <w:t>Ананьївська міська рада</w:t>
      </w:r>
    </w:p>
    <w:p w:rsidR="00812545" w:rsidRPr="00812545" w:rsidRDefault="00812545" w:rsidP="00812545">
      <w:pPr>
        <w:widowControl w:val="0"/>
        <w:suppressAutoHyphens/>
        <w:ind w:firstLine="709"/>
        <w:jc w:val="both"/>
        <w:rPr>
          <w:rFonts w:eastAsia="SimSun"/>
          <w:kern w:val="2"/>
          <w:lang w:val="uk-UA" w:eastAsia="hi-IN" w:bidi="hi-IN"/>
        </w:rPr>
      </w:pPr>
      <w:r w:rsidRPr="00812545">
        <w:rPr>
          <w:rFonts w:eastAsia="SimSun"/>
          <w:kern w:val="2"/>
          <w:sz w:val="28"/>
          <w:szCs w:val="28"/>
          <w:lang w:val="uk-UA" w:eastAsia="hi-IN" w:bidi="hi-IN"/>
        </w:rPr>
        <w:t xml:space="preserve"> </w:t>
      </w:r>
    </w:p>
    <w:p w:rsidR="00812545" w:rsidRDefault="00812545" w:rsidP="00812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color w:val="1D1D1B"/>
          <w:sz w:val="28"/>
          <w:szCs w:val="28"/>
          <w:bdr w:val="none" w:sz="0" w:space="0" w:color="auto" w:frame="1"/>
          <w:lang w:val="uk-UA" w:eastAsia="uk-UA"/>
        </w:rPr>
      </w:pPr>
      <w:r w:rsidRPr="00812545">
        <w:rPr>
          <w:b/>
          <w:bCs/>
          <w:color w:val="1D1D1B"/>
          <w:sz w:val="28"/>
          <w:szCs w:val="28"/>
          <w:bdr w:val="none" w:sz="0" w:space="0" w:color="auto" w:frame="1"/>
          <w:lang w:val="uk-UA" w:eastAsia="uk-UA"/>
        </w:rPr>
        <w:t>ВИРІШИЛА:</w:t>
      </w:r>
    </w:p>
    <w:p w:rsidR="00812545" w:rsidRPr="00812545" w:rsidRDefault="00812545" w:rsidP="00812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1D1D1B"/>
          <w:lang w:val="uk-UA" w:eastAsia="uk-UA"/>
        </w:rPr>
      </w:pPr>
    </w:p>
    <w:p w:rsidR="00812545" w:rsidRPr="00812545" w:rsidRDefault="001938AC" w:rsidP="00812545">
      <w:pPr>
        <w:ind w:firstLine="709"/>
        <w:jc w:val="both"/>
        <w:rPr>
          <w:sz w:val="28"/>
          <w:szCs w:val="28"/>
          <w:lang w:val="uk-UA" w:eastAsia="uk-UA"/>
        </w:rPr>
      </w:pPr>
      <w:r>
        <w:rPr>
          <w:color w:val="000000"/>
          <w:sz w:val="28"/>
          <w:szCs w:val="28"/>
          <w:lang w:val="uk-UA" w:eastAsia="uk-UA"/>
        </w:rPr>
        <w:t xml:space="preserve">1. Схвалити звіт </w:t>
      </w:r>
      <w:r w:rsidR="00812545" w:rsidRPr="00812545">
        <w:rPr>
          <w:color w:val="000000"/>
          <w:sz w:val="28"/>
          <w:szCs w:val="28"/>
          <w:lang w:val="uk-UA" w:eastAsia="uk-UA"/>
        </w:rPr>
        <w:t xml:space="preserve">про виконання бюджету Ананьївської міської територіальної громади за 2021 рік </w:t>
      </w:r>
      <w:r w:rsidR="00812545" w:rsidRPr="00812545">
        <w:rPr>
          <w:sz w:val="28"/>
          <w:szCs w:val="28"/>
          <w:lang w:val="uk-UA" w:eastAsia="uk-UA"/>
        </w:rPr>
        <w:t>:</w:t>
      </w:r>
    </w:p>
    <w:p w:rsidR="00812545" w:rsidRPr="00812545" w:rsidRDefault="00812545" w:rsidP="00812545">
      <w:pPr>
        <w:ind w:firstLine="709"/>
        <w:jc w:val="both"/>
        <w:rPr>
          <w:sz w:val="28"/>
          <w:szCs w:val="28"/>
          <w:lang w:val="uk-UA" w:eastAsia="uk-UA"/>
        </w:rPr>
      </w:pPr>
      <w:r w:rsidRPr="00812545">
        <w:rPr>
          <w:sz w:val="28"/>
          <w:szCs w:val="28"/>
          <w:lang w:val="uk-UA" w:eastAsia="uk-UA"/>
        </w:rPr>
        <w:t>1.1. По доходах у сумі 198 581 920,73 грн., з них по загальному фонду у сумі 177 850 314,04 грн</w:t>
      </w:r>
      <w:r>
        <w:rPr>
          <w:sz w:val="28"/>
          <w:szCs w:val="28"/>
          <w:lang w:val="uk-UA" w:eastAsia="uk-UA"/>
        </w:rPr>
        <w:t>.</w:t>
      </w:r>
      <w:r w:rsidRPr="00812545">
        <w:rPr>
          <w:sz w:val="28"/>
          <w:szCs w:val="28"/>
          <w:lang w:val="uk-UA" w:eastAsia="uk-UA"/>
        </w:rPr>
        <w:t xml:space="preserve">, </w:t>
      </w:r>
      <w:r w:rsidR="001938AC">
        <w:rPr>
          <w:sz w:val="28"/>
          <w:szCs w:val="28"/>
          <w:lang w:val="uk-UA" w:eastAsia="uk-UA"/>
        </w:rPr>
        <w:t xml:space="preserve">по спеціальному фонду у сумі 19 768 </w:t>
      </w:r>
      <w:r w:rsidRPr="00812545">
        <w:rPr>
          <w:sz w:val="28"/>
          <w:szCs w:val="28"/>
          <w:lang w:val="uk-UA" w:eastAsia="uk-UA"/>
        </w:rPr>
        <w:t>909 грн</w:t>
      </w:r>
      <w:r>
        <w:rPr>
          <w:sz w:val="28"/>
          <w:szCs w:val="28"/>
          <w:lang w:val="uk-UA" w:eastAsia="uk-UA"/>
        </w:rPr>
        <w:t>.</w:t>
      </w:r>
      <w:r w:rsidRPr="00812545">
        <w:rPr>
          <w:sz w:val="28"/>
          <w:szCs w:val="28"/>
          <w:lang w:val="uk-UA" w:eastAsia="uk-UA"/>
        </w:rPr>
        <w:t xml:space="preserve"> згідно</w:t>
      </w:r>
      <w:r w:rsidR="000B5A6D">
        <w:rPr>
          <w:sz w:val="28"/>
          <w:szCs w:val="28"/>
          <w:lang w:val="uk-UA" w:eastAsia="uk-UA"/>
        </w:rPr>
        <w:t xml:space="preserve"> з Додат</w:t>
      </w:r>
      <w:r w:rsidR="00587DA8">
        <w:rPr>
          <w:sz w:val="28"/>
          <w:szCs w:val="28"/>
          <w:lang w:val="uk-UA" w:eastAsia="uk-UA"/>
        </w:rPr>
        <w:t xml:space="preserve">ком </w:t>
      </w:r>
      <w:r w:rsidR="000B5A6D">
        <w:rPr>
          <w:sz w:val="28"/>
          <w:szCs w:val="28"/>
          <w:lang w:val="uk-UA" w:eastAsia="uk-UA"/>
        </w:rPr>
        <w:t>1 до цього рішення.</w:t>
      </w:r>
    </w:p>
    <w:p w:rsidR="00812545" w:rsidRPr="00812545" w:rsidRDefault="00812545" w:rsidP="00812545">
      <w:pPr>
        <w:ind w:firstLine="709"/>
        <w:jc w:val="both"/>
        <w:rPr>
          <w:sz w:val="28"/>
          <w:szCs w:val="28"/>
          <w:lang w:val="uk-UA" w:eastAsia="uk-UA"/>
        </w:rPr>
      </w:pPr>
      <w:r w:rsidRPr="00812545">
        <w:rPr>
          <w:sz w:val="28"/>
          <w:szCs w:val="28"/>
          <w:lang w:val="uk-UA" w:eastAsia="uk-UA"/>
        </w:rPr>
        <w:t>1.2. По видатках у сумі 197 460 316,74 грн</w:t>
      </w:r>
      <w:r>
        <w:rPr>
          <w:sz w:val="28"/>
          <w:szCs w:val="28"/>
          <w:lang w:val="uk-UA" w:eastAsia="uk-UA"/>
        </w:rPr>
        <w:t>.</w:t>
      </w:r>
      <w:r w:rsidRPr="00812545">
        <w:rPr>
          <w:sz w:val="28"/>
          <w:szCs w:val="28"/>
          <w:lang w:val="uk-UA" w:eastAsia="uk-UA"/>
        </w:rPr>
        <w:t>, з них по загальному фонду у сумі</w:t>
      </w:r>
      <w:r w:rsidRPr="00812545">
        <w:rPr>
          <w:sz w:val="28"/>
          <w:szCs w:val="28"/>
          <w:lang w:eastAsia="uk-UA"/>
        </w:rPr>
        <w:t xml:space="preserve"> 173 414 399,06</w:t>
      </w:r>
      <w:r w:rsidRPr="00812545">
        <w:rPr>
          <w:sz w:val="28"/>
          <w:szCs w:val="28"/>
          <w:lang w:val="uk-UA" w:eastAsia="uk-UA"/>
        </w:rPr>
        <w:t xml:space="preserve"> грн</w:t>
      </w:r>
      <w:r>
        <w:rPr>
          <w:sz w:val="28"/>
          <w:szCs w:val="28"/>
          <w:lang w:val="uk-UA" w:eastAsia="uk-UA"/>
        </w:rPr>
        <w:t>.</w:t>
      </w:r>
      <w:r w:rsidRPr="00812545">
        <w:rPr>
          <w:sz w:val="28"/>
          <w:szCs w:val="28"/>
          <w:lang w:val="uk-UA" w:eastAsia="uk-UA"/>
        </w:rPr>
        <w:t>, по спеціальному фонду у сумі 24 045 917,68 грн</w:t>
      </w:r>
      <w:r>
        <w:rPr>
          <w:sz w:val="28"/>
          <w:szCs w:val="28"/>
          <w:lang w:val="uk-UA" w:eastAsia="uk-UA"/>
        </w:rPr>
        <w:t>.</w:t>
      </w:r>
      <w:r w:rsidR="00587DA8">
        <w:rPr>
          <w:sz w:val="28"/>
          <w:szCs w:val="28"/>
          <w:lang w:val="uk-UA" w:eastAsia="uk-UA"/>
        </w:rPr>
        <w:t xml:space="preserve">  згідно з Додатком </w:t>
      </w:r>
      <w:r w:rsidRPr="00812545">
        <w:rPr>
          <w:sz w:val="28"/>
          <w:szCs w:val="28"/>
          <w:lang w:val="uk-UA" w:eastAsia="uk-UA"/>
        </w:rPr>
        <w:t>2 до цього рішення</w:t>
      </w:r>
      <w:r w:rsidR="000B5A6D">
        <w:rPr>
          <w:sz w:val="28"/>
          <w:szCs w:val="28"/>
          <w:lang w:val="uk-UA" w:eastAsia="uk-UA"/>
        </w:rPr>
        <w:t>.</w:t>
      </w:r>
    </w:p>
    <w:p w:rsidR="00812545" w:rsidRDefault="00812545" w:rsidP="00812545">
      <w:pPr>
        <w:ind w:firstLine="709"/>
        <w:jc w:val="both"/>
        <w:rPr>
          <w:sz w:val="28"/>
          <w:szCs w:val="28"/>
          <w:lang w:val="uk-UA" w:eastAsia="uk-UA"/>
        </w:rPr>
      </w:pPr>
      <w:r w:rsidRPr="00812545">
        <w:rPr>
          <w:sz w:val="28"/>
          <w:szCs w:val="28"/>
          <w:lang w:val="uk-UA" w:eastAsia="uk-UA"/>
        </w:rPr>
        <w:t>1.3. По джерелах фінансування бюджету профіцит бюджету у сумі 158 906,3 грн</w:t>
      </w:r>
      <w:r>
        <w:rPr>
          <w:sz w:val="28"/>
          <w:szCs w:val="28"/>
          <w:lang w:val="uk-UA" w:eastAsia="uk-UA"/>
        </w:rPr>
        <w:t>.</w:t>
      </w:r>
      <w:r w:rsidRPr="00812545">
        <w:rPr>
          <w:sz w:val="28"/>
          <w:szCs w:val="28"/>
          <w:lang w:val="uk-UA" w:eastAsia="uk-UA"/>
        </w:rPr>
        <w:t>, з них профіцит загального фонду бюджету у сумі 4 435 914,98 грн</w:t>
      </w:r>
      <w:r>
        <w:rPr>
          <w:sz w:val="28"/>
          <w:szCs w:val="28"/>
          <w:lang w:val="uk-UA" w:eastAsia="uk-UA"/>
        </w:rPr>
        <w:t>.</w:t>
      </w:r>
      <w:r w:rsidRPr="00812545">
        <w:rPr>
          <w:sz w:val="28"/>
          <w:szCs w:val="28"/>
          <w:lang w:val="uk-UA" w:eastAsia="uk-UA"/>
        </w:rPr>
        <w:t>, дефіцит спеціального бюджету у сумі 4 277 008,68 грн</w:t>
      </w:r>
      <w:r>
        <w:rPr>
          <w:sz w:val="28"/>
          <w:szCs w:val="28"/>
          <w:lang w:val="uk-UA" w:eastAsia="uk-UA"/>
        </w:rPr>
        <w:t>.</w:t>
      </w:r>
      <w:r w:rsidRPr="00812545">
        <w:rPr>
          <w:sz w:val="28"/>
          <w:szCs w:val="28"/>
          <w:lang w:val="uk-UA" w:eastAsia="uk-UA"/>
        </w:rPr>
        <w:t>, згідно з Додатком 3 до цього рішення.</w:t>
      </w:r>
    </w:p>
    <w:p w:rsidR="00812545" w:rsidRPr="00812545" w:rsidRDefault="00812545" w:rsidP="00812545">
      <w:pPr>
        <w:ind w:firstLine="709"/>
        <w:jc w:val="both"/>
        <w:rPr>
          <w:sz w:val="28"/>
          <w:szCs w:val="28"/>
          <w:lang w:val="uk-UA" w:eastAsia="uk-UA"/>
        </w:rPr>
      </w:pPr>
    </w:p>
    <w:p w:rsidR="00812545" w:rsidRDefault="00812545" w:rsidP="00812545">
      <w:pPr>
        <w:ind w:firstLine="709"/>
        <w:jc w:val="both"/>
        <w:rPr>
          <w:sz w:val="28"/>
          <w:szCs w:val="28"/>
          <w:lang w:val="uk-UA" w:eastAsia="uk-UA"/>
        </w:rPr>
      </w:pPr>
      <w:r w:rsidRPr="00812545">
        <w:rPr>
          <w:sz w:val="28"/>
          <w:szCs w:val="28"/>
          <w:lang w:val="uk-UA" w:eastAsia="uk-UA"/>
        </w:rPr>
        <w:t>2. Відповідно до частини 4 статті 28 Бюджетного кодексу України здійснити опублікування цього рішення на сайті міської ради.</w:t>
      </w:r>
    </w:p>
    <w:p w:rsidR="00812545" w:rsidRPr="00812545" w:rsidRDefault="00812545" w:rsidP="00812545">
      <w:pPr>
        <w:ind w:firstLine="709"/>
        <w:jc w:val="both"/>
        <w:rPr>
          <w:sz w:val="28"/>
          <w:szCs w:val="28"/>
          <w:lang w:val="uk-UA" w:eastAsia="uk-UA"/>
        </w:rPr>
      </w:pPr>
    </w:p>
    <w:p w:rsidR="00812545" w:rsidRPr="00812545" w:rsidRDefault="00812545" w:rsidP="00812545">
      <w:pPr>
        <w:suppressAutoHyphens/>
        <w:ind w:firstLine="709"/>
        <w:jc w:val="both"/>
        <w:rPr>
          <w:sz w:val="28"/>
          <w:szCs w:val="28"/>
          <w:lang w:val="uk-UA" w:eastAsia="uk-UA"/>
        </w:rPr>
      </w:pPr>
      <w:r w:rsidRPr="00812545">
        <w:rPr>
          <w:sz w:val="28"/>
          <w:szCs w:val="28"/>
          <w:lang w:val="uk-UA" w:eastAsia="uk-UA"/>
        </w:rPr>
        <w:t xml:space="preserve">3. Контроль за виконання цього рішення покласти на постійну комісію </w:t>
      </w:r>
      <w:r>
        <w:rPr>
          <w:rFonts w:eastAsia="SimSun" w:cs="Lucida Sans"/>
          <w:kern w:val="2"/>
          <w:sz w:val="28"/>
          <w:szCs w:val="28"/>
          <w:lang w:val="uk-UA" w:eastAsia="hi-IN" w:bidi="hi-IN"/>
        </w:rPr>
        <w:t>Ананьївської</w:t>
      </w:r>
      <w:r w:rsidRPr="00812545">
        <w:rPr>
          <w:sz w:val="28"/>
          <w:szCs w:val="28"/>
          <w:lang w:val="uk-UA" w:eastAsia="uk-UA"/>
        </w:rPr>
        <w:t xml:space="preserve"> міської ради з питань фінансів, бюджету, планування соціально-економічного розвитку, інвестицій та міжнародного співробітництва.</w:t>
      </w:r>
    </w:p>
    <w:p w:rsidR="00812545" w:rsidRDefault="00812545" w:rsidP="00812545">
      <w:pPr>
        <w:shd w:val="clear" w:color="auto" w:fill="FFFFFF"/>
        <w:tabs>
          <w:tab w:val="left" w:pos="1185"/>
          <w:tab w:val="left" w:pos="1275"/>
        </w:tabs>
        <w:suppressAutoHyphens/>
        <w:spacing w:line="200" w:lineRule="atLeast"/>
        <w:ind w:firstLine="725"/>
        <w:jc w:val="both"/>
        <w:rPr>
          <w:rFonts w:eastAsia="Calibri"/>
          <w:lang w:val="uk-UA" w:eastAsia="ar-SA"/>
        </w:rPr>
      </w:pPr>
    </w:p>
    <w:p w:rsidR="00812545" w:rsidRDefault="00812545" w:rsidP="00812545">
      <w:pPr>
        <w:shd w:val="clear" w:color="auto" w:fill="FFFFFF"/>
        <w:tabs>
          <w:tab w:val="left" w:pos="1185"/>
          <w:tab w:val="left" w:pos="1275"/>
        </w:tabs>
        <w:suppressAutoHyphens/>
        <w:spacing w:line="200" w:lineRule="atLeast"/>
        <w:ind w:firstLine="725"/>
        <w:jc w:val="both"/>
        <w:rPr>
          <w:rFonts w:eastAsia="Calibri"/>
          <w:lang w:val="uk-UA" w:eastAsia="ar-SA"/>
        </w:rPr>
      </w:pPr>
    </w:p>
    <w:p w:rsidR="00812545" w:rsidRDefault="00812545" w:rsidP="00812545">
      <w:pPr>
        <w:shd w:val="clear" w:color="auto" w:fill="FFFFFF"/>
        <w:tabs>
          <w:tab w:val="left" w:pos="1185"/>
          <w:tab w:val="left" w:pos="1275"/>
        </w:tabs>
        <w:suppressAutoHyphens/>
        <w:spacing w:line="200" w:lineRule="atLeast"/>
        <w:ind w:firstLine="725"/>
        <w:jc w:val="both"/>
        <w:rPr>
          <w:rFonts w:eastAsia="Calibri"/>
          <w:lang w:val="uk-UA" w:eastAsia="ar-SA"/>
        </w:rPr>
      </w:pPr>
    </w:p>
    <w:p w:rsidR="00812545" w:rsidRDefault="00812545" w:rsidP="00812545">
      <w:pPr>
        <w:suppressAutoHyphens/>
        <w:spacing w:line="200" w:lineRule="atLeast"/>
        <w:ind w:right="-1"/>
        <w:jc w:val="both"/>
        <w:rPr>
          <w:sz w:val="20"/>
          <w:szCs w:val="20"/>
          <w:lang w:val="uk-UA" w:eastAsia="ar-SA"/>
        </w:rPr>
      </w:pPr>
      <w:r>
        <w:rPr>
          <w:b/>
          <w:sz w:val="28"/>
          <w:szCs w:val="28"/>
          <w:lang w:val="uk-UA" w:eastAsia="ar-SA"/>
        </w:rPr>
        <w:t xml:space="preserve">Ананьївський міський голова </w:t>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t xml:space="preserve">        Юрій ТИЩЕНКО</w:t>
      </w:r>
    </w:p>
    <w:p w:rsidR="00CD677D" w:rsidRPr="00CD677D" w:rsidRDefault="001938AC" w:rsidP="00CD677D">
      <w:pPr>
        <w:jc w:val="center"/>
        <w:rPr>
          <w:b/>
          <w:spacing w:val="-1"/>
          <w:sz w:val="32"/>
          <w:szCs w:val="32"/>
          <w:lang w:val="uk-UA"/>
        </w:rPr>
      </w:pPr>
      <w:r>
        <w:rPr>
          <w:szCs w:val="20"/>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31pt;margin-top:34.45pt;width:27pt;height:9pt;z-index:251659264">
            <v:shadow color="#868686"/>
            <v:textpath style="font-family:&quot;Arial&quot;;v-text-kern:t" trim="t" fitpath="t" string="60 мм"/>
          </v:shape>
        </w:pict>
      </w:r>
      <w:r w:rsidR="00CD677D" w:rsidRPr="00CD677D">
        <w:rPr>
          <w:b/>
          <w:noProof/>
          <w:sz w:val="28"/>
          <w:szCs w:val="28"/>
        </w:rPr>
        <w:drawing>
          <wp:inline distT="0" distB="0" distL="0" distR="0" wp14:anchorId="31E2823A" wp14:editId="59AACC07">
            <wp:extent cx="521335" cy="685800"/>
            <wp:effectExtent l="0" t="0" r="0" b="0"/>
            <wp:docPr id="2"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335" cy="685800"/>
                    </a:xfrm>
                    <a:prstGeom prst="rect">
                      <a:avLst/>
                    </a:prstGeom>
                    <a:noFill/>
                    <a:ln>
                      <a:noFill/>
                    </a:ln>
                  </pic:spPr>
                </pic:pic>
              </a:graphicData>
            </a:graphic>
          </wp:inline>
        </w:drawing>
      </w:r>
    </w:p>
    <w:p w:rsidR="00CD677D" w:rsidRPr="00CD677D" w:rsidRDefault="00CD677D" w:rsidP="00CD677D">
      <w:pPr>
        <w:ind w:firstLine="52"/>
        <w:jc w:val="center"/>
        <w:rPr>
          <w:b/>
          <w:spacing w:val="-1"/>
          <w:sz w:val="28"/>
          <w:szCs w:val="28"/>
          <w:lang w:val="uk-UA"/>
        </w:rPr>
      </w:pPr>
      <w:r w:rsidRPr="00CD677D">
        <w:rPr>
          <w:b/>
          <w:spacing w:val="-1"/>
          <w:sz w:val="28"/>
          <w:szCs w:val="28"/>
          <w:lang w:val="uk-UA"/>
        </w:rPr>
        <w:t>УКРАЇНА</w:t>
      </w:r>
    </w:p>
    <w:p w:rsidR="00CD677D" w:rsidRPr="00CD677D" w:rsidRDefault="00CD677D" w:rsidP="00CD677D">
      <w:pPr>
        <w:jc w:val="center"/>
        <w:rPr>
          <w:b/>
          <w:sz w:val="28"/>
          <w:szCs w:val="28"/>
          <w:lang w:val="uk-UA"/>
        </w:rPr>
      </w:pPr>
      <w:r w:rsidRPr="00CD677D">
        <w:rPr>
          <w:b/>
          <w:spacing w:val="-1"/>
          <w:sz w:val="28"/>
          <w:szCs w:val="28"/>
          <w:lang w:val="uk-UA"/>
        </w:rPr>
        <w:t xml:space="preserve">АНАНЬЇВСЬКА </w:t>
      </w:r>
      <w:r w:rsidRPr="00CD677D">
        <w:rPr>
          <w:b/>
          <w:sz w:val="28"/>
          <w:szCs w:val="28"/>
          <w:lang w:val="uk-UA"/>
        </w:rPr>
        <w:t>МІСЬКА РАДА</w:t>
      </w:r>
    </w:p>
    <w:p w:rsidR="00CD677D" w:rsidRPr="00CD677D" w:rsidRDefault="00CD677D" w:rsidP="00CD677D">
      <w:pPr>
        <w:pBdr>
          <w:bottom w:val="single" w:sz="12" w:space="1" w:color="auto"/>
        </w:pBdr>
        <w:tabs>
          <w:tab w:val="center" w:pos="4677"/>
          <w:tab w:val="right" w:pos="9355"/>
        </w:tabs>
        <w:jc w:val="center"/>
        <w:rPr>
          <w:b/>
          <w:sz w:val="30"/>
          <w:szCs w:val="30"/>
          <w:lang w:val="uk-UA"/>
        </w:rPr>
      </w:pPr>
      <w:r w:rsidRPr="00CD677D">
        <w:rPr>
          <w:b/>
          <w:sz w:val="30"/>
          <w:szCs w:val="30"/>
          <w:lang w:val="uk-UA"/>
        </w:rPr>
        <w:t>ФІНАНСОВЕ УПРАВЛІННЯ АНАНЬЇВСЬКОЇ МІСЬКОЇ РАДИ</w:t>
      </w:r>
    </w:p>
    <w:p w:rsidR="00CD677D" w:rsidRPr="00CD677D" w:rsidRDefault="00CD677D" w:rsidP="00CD677D">
      <w:pPr>
        <w:jc w:val="center"/>
        <w:rPr>
          <w:szCs w:val="20"/>
          <w:lang w:val="uk-UA"/>
        </w:rPr>
      </w:pPr>
      <w:r w:rsidRPr="00CD677D">
        <w:rPr>
          <w:szCs w:val="20"/>
          <w:lang w:val="uk-UA"/>
        </w:rPr>
        <w:t>66400 м. Ананьїв Одеської області, вул. Незалежності, 51, тел. 027053475                                                              e-</w:t>
      </w:r>
      <w:proofErr w:type="spellStart"/>
      <w:r w:rsidRPr="00CD677D">
        <w:rPr>
          <w:szCs w:val="20"/>
          <w:lang w:val="uk-UA"/>
        </w:rPr>
        <w:t>mail</w:t>
      </w:r>
      <w:proofErr w:type="spellEnd"/>
      <w:r w:rsidRPr="00CD677D">
        <w:rPr>
          <w:szCs w:val="20"/>
          <w:lang w:val="uk-UA"/>
        </w:rPr>
        <w:t xml:space="preserve">: </w:t>
      </w:r>
      <w:proofErr w:type="spellStart"/>
      <w:r w:rsidRPr="00CD677D">
        <w:rPr>
          <w:szCs w:val="20"/>
          <w:lang w:val="en-US"/>
        </w:rPr>
        <w:t>fuananmiskrada</w:t>
      </w:r>
      <w:proofErr w:type="spellEnd"/>
      <w:r w:rsidRPr="00CD677D">
        <w:rPr>
          <w:szCs w:val="20"/>
          <w:lang w:val="uk-UA"/>
        </w:rPr>
        <w:t>@ukr.net код ЄДРПОУ 43912864</w:t>
      </w:r>
    </w:p>
    <w:p w:rsidR="00CD677D" w:rsidRPr="00CD677D" w:rsidRDefault="00CD677D" w:rsidP="00CD677D">
      <w:pPr>
        <w:jc w:val="center"/>
        <w:rPr>
          <w:sz w:val="28"/>
          <w:szCs w:val="28"/>
          <w:lang w:val="uk-UA" w:eastAsia="zh-CN"/>
        </w:rPr>
      </w:pPr>
    </w:p>
    <w:p w:rsidR="00CD677D" w:rsidRPr="00CD677D" w:rsidRDefault="00CD677D" w:rsidP="00CD677D">
      <w:pPr>
        <w:jc w:val="center"/>
        <w:rPr>
          <w:b/>
          <w:sz w:val="28"/>
          <w:szCs w:val="28"/>
          <w:lang w:val="uk-UA" w:eastAsia="zh-CN"/>
        </w:rPr>
      </w:pPr>
      <w:r w:rsidRPr="00CD677D">
        <w:rPr>
          <w:b/>
          <w:sz w:val="28"/>
          <w:szCs w:val="28"/>
          <w:lang w:val="uk-UA" w:eastAsia="zh-CN"/>
        </w:rPr>
        <w:t xml:space="preserve">Пояснювальна записка </w:t>
      </w:r>
    </w:p>
    <w:p w:rsidR="00CD677D" w:rsidRPr="00CD677D" w:rsidRDefault="00CD677D" w:rsidP="00CD677D">
      <w:pPr>
        <w:jc w:val="center"/>
        <w:rPr>
          <w:b/>
          <w:sz w:val="28"/>
          <w:szCs w:val="28"/>
          <w:lang w:val="uk-UA" w:eastAsia="zh-CN"/>
        </w:rPr>
      </w:pPr>
      <w:r w:rsidRPr="00CD677D">
        <w:rPr>
          <w:b/>
          <w:sz w:val="28"/>
          <w:szCs w:val="28"/>
          <w:lang w:val="uk-UA" w:eastAsia="zh-CN"/>
        </w:rPr>
        <w:t>до звіту про виконання місцевого бюджету</w:t>
      </w:r>
    </w:p>
    <w:p w:rsidR="00CD677D" w:rsidRPr="00CD677D" w:rsidRDefault="00CD677D" w:rsidP="00CD677D">
      <w:pPr>
        <w:jc w:val="center"/>
        <w:rPr>
          <w:b/>
          <w:sz w:val="28"/>
          <w:szCs w:val="28"/>
          <w:lang w:val="uk-UA" w:eastAsia="zh-CN"/>
        </w:rPr>
      </w:pPr>
      <w:r w:rsidRPr="00CD677D">
        <w:rPr>
          <w:b/>
          <w:sz w:val="28"/>
          <w:szCs w:val="28"/>
          <w:lang w:val="uk-UA" w:eastAsia="zh-CN"/>
        </w:rPr>
        <w:t xml:space="preserve">Ананьївської міської територіальної громади </w:t>
      </w:r>
    </w:p>
    <w:p w:rsidR="00CD677D" w:rsidRPr="00CD677D" w:rsidRDefault="000D37B6" w:rsidP="00CD677D">
      <w:pPr>
        <w:jc w:val="center"/>
        <w:rPr>
          <w:b/>
          <w:i/>
          <w:sz w:val="28"/>
          <w:szCs w:val="28"/>
          <w:lang w:val="uk-UA" w:eastAsia="zh-CN"/>
        </w:rPr>
      </w:pPr>
      <w:r>
        <w:rPr>
          <w:b/>
          <w:sz w:val="28"/>
          <w:szCs w:val="28"/>
          <w:lang w:val="uk-UA" w:eastAsia="zh-CN"/>
        </w:rPr>
        <w:t xml:space="preserve">за </w:t>
      </w:r>
      <w:r w:rsidR="00CD677D" w:rsidRPr="00CD677D">
        <w:rPr>
          <w:b/>
          <w:sz w:val="28"/>
          <w:szCs w:val="28"/>
          <w:lang w:val="uk-UA" w:eastAsia="zh-CN"/>
        </w:rPr>
        <w:t>2021 рік</w:t>
      </w:r>
    </w:p>
    <w:p w:rsidR="00CD677D" w:rsidRPr="00CD677D" w:rsidRDefault="00CD677D" w:rsidP="00CD677D">
      <w:pPr>
        <w:jc w:val="both"/>
        <w:rPr>
          <w:lang w:val="uk-UA" w:eastAsia="zh-CN"/>
        </w:rPr>
      </w:pPr>
    </w:p>
    <w:p w:rsidR="00CD677D" w:rsidRPr="00CD677D" w:rsidRDefault="00CD677D" w:rsidP="00EE6960">
      <w:pPr>
        <w:tabs>
          <w:tab w:val="left" w:pos="0"/>
        </w:tabs>
        <w:jc w:val="center"/>
        <w:rPr>
          <w:b/>
          <w:sz w:val="28"/>
          <w:szCs w:val="28"/>
          <w:lang w:val="uk-UA" w:eastAsia="zh-CN"/>
        </w:rPr>
      </w:pPr>
      <w:r>
        <w:rPr>
          <w:b/>
          <w:sz w:val="28"/>
          <w:szCs w:val="28"/>
          <w:lang w:val="uk-UA" w:eastAsia="zh-CN"/>
        </w:rPr>
        <w:t>І</w:t>
      </w:r>
      <w:r w:rsidR="00EE6960">
        <w:rPr>
          <w:b/>
          <w:sz w:val="28"/>
          <w:szCs w:val="28"/>
          <w:lang w:val="uk-UA" w:eastAsia="zh-CN"/>
        </w:rPr>
        <w:t>.</w:t>
      </w:r>
      <w:r w:rsidR="000D37B6">
        <w:rPr>
          <w:b/>
          <w:sz w:val="28"/>
          <w:szCs w:val="28"/>
          <w:lang w:val="uk-UA" w:eastAsia="zh-CN"/>
        </w:rPr>
        <w:t xml:space="preserve"> </w:t>
      </w:r>
      <w:r w:rsidRPr="00CD677D">
        <w:rPr>
          <w:b/>
          <w:sz w:val="28"/>
          <w:szCs w:val="28"/>
          <w:lang w:val="uk-UA" w:eastAsia="zh-CN"/>
        </w:rPr>
        <w:t>Загальна характеристика виконання бюджету.</w:t>
      </w:r>
    </w:p>
    <w:p w:rsidR="00CD677D" w:rsidRPr="00CD677D" w:rsidRDefault="00CD677D" w:rsidP="00CD677D">
      <w:pPr>
        <w:tabs>
          <w:tab w:val="left" w:pos="0"/>
        </w:tabs>
        <w:jc w:val="both"/>
        <w:rPr>
          <w:lang w:val="uk-UA" w:eastAsia="zh-CN"/>
        </w:rPr>
      </w:pPr>
    </w:p>
    <w:p w:rsidR="00CD677D" w:rsidRPr="00CD677D" w:rsidRDefault="00CD677D" w:rsidP="00CD677D">
      <w:pPr>
        <w:tabs>
          <w:tab w:val="left" w:pos="0"/>
          <w:tab w:val="left" w:pos="709"/>
        </w:tabs>
        <w:jc w:val="both"/>
        <w:rPr>
          <w:sz w:val="28"/>
          <w:szCs w:val="28"/>
          <w:lang w:val="uk-UA" w:eastAsia="zh-CN"/>
        </w:rPr>
      </w:pPr>
      <w:r>
        <w:rPr>
          <w:sz w:val="28"/>
          <w:szCs w:val="28"/>
          <w:lang w:val="uk-UA" w:eastAsia="zh-CN"/>
        </w:rPr>
        <w:t xml:space="preserve">         </w:t>
      </w:r>
      <w:r w:rsidRPr="00CD677D">
        <w:rPr>
          <w:sz w:val="28"/>
          <w:szCs w:val="28"/>
          <w:lang w:val="uk-UA" w:eastAsia="zh-CN"/>
        </w:rPr>
        <w:t>Кількість місцевих бюджетів - 1 (міський).</w:t>
      </w:r>
    </w:p>
    <w:p w:rsidR="00CD677D" w:rsidRPr="00CD677D" w:rsidRDefault="00CD677D" w:rsidP="00CD677D">
      <w:pPr>
        <w:tabs>
          <w:tab w:val="left" w:pos="0"/>
        </w:tabs>
        <w:jc w:val="both"/>
        <w:rPr>
          <w:sz w:val="28"/>
          <w:szCs w:val="28"/>
          <w:lang w:val="uk-UA" w:eastAsia="zh-CN"/>
        </w:rPr>
      </w:pPr>
      <w:r w:rsidRPr="00CD677D">
        <w:rPr>
          <w:sz w:val="28"/>
          <w:szCs w:val="28"/>
          <w:lang w:val="uk-UA" w:eastAsia="zh-CN"/>
        </w:rPr>
        <w:t xml:space="preserve">         Виконання бюджету з</w:t>
      </w:r>
      <w:r w:rsidR="000D37B6">
        <w:rPr>
          <w:sz w:val="28"/>
          <w:szCs w:val="28"/>
          <w:lang w:val="uk-UA" w:eastAsia="zh-CN"/>
        </w:rPr>
        <w:t xml:space="preserve">а доходами по загальному фонду </w:t>
      </w:r>
      <w:r w:rsidRPr="00CD677D">
        <w:rPr>
          <w:sz w:val="28"/>
          <w:szCs w:val="28"/>
          <w:lang w:val="uk-UA" w:eastAsia="zh-CN"/>
        </w:rPr>
        <w:t xml:space="preserve">з урахуванням внесених змін за звітний період 2021 року становить 99,6% при плані </w:t>
      </w:r>
      <w:r w:rsidRPr="00CD677D">
        <w:rPr>
          <w:sz w:val="28"/>
          <w:szCs w:val="28"/>
          <w:lang w:val="uk-UA" w:eastAsia="zh-CN"/>
        </w:rPr>
        <w:br/>
        <w:t>178502,2 тис. грн. фактич</w:t>
      </w:r>
      <w:r w:rsidR="000D37B6">
        <w:rPr>
          <w:sz w:val="28"/>
          <w:szCs w:val="28"/>
          <w:lang w:val="uk-UA" w:eastAsia="zh-CN"/>
        </w:rPr>
        <w:t xml:space="preserve">но надійшло 177850,3 тис. грн. </w:t>
      </w:r>
      <w:r w:rsidRPr="00CD677D">
        <w:rPr>
          <w:sz w:val="28"/>
          <w:szCs w:val="28"/>
          <w:lang w:val="uk-UA" w:eastAsia="zh-CN"/>
        </w:rPr>
        <w:t xml:space="preserve">або на  651,9 тис. грн. менше. </w:t>
      </w:r>
    </w:p>
    <w:p w:rsidR="00CD677D" w:rsidRPr="00CD677D" w:rsidRDefault="00CD677D" w:rsidP="000D37B6">
      <w:pPr>
        <w:tabs>
          <w:tab w:val="left" w:pos="0"/>
          <w:tab w:val="left" w:pos="709"/>
        </w:tabs>
        <w:jc w:val="both"/>
        <w:rPr>
          <w:sz w:val="28"/>
          <w:szCs w:val="28"/>
          <w:lang w:val="uk-UA" w:eastAsia="zh-CN"/>
        </w:rPr>
      </w:pPr>
      <w:r w:rsidRPr="00CD677D">
        <w:rPr>
          <w:sz w:val="28"/>
          <w:szCs w:val="28"/>
          <w:lang w:val="uk-UA" w:eastAsia="zh-CN"/>
        </w:rPr>
        <w:t xml:space="preserve">       </w:t>
      </w:r>
      <w:r w:rsidR="000D37B6">
        <w:rPr>
          <w:sz w:val="28"/>
          <w:szCs w:val="28"/>
          <w:lang w:val="uk-UA" w:eastAsia="zh-CN"/>
        </w:rPr>
        <w:t xml:space="preserve">   </w:t>
      </w:r>
      <w:r w:rsidRPr="00CD677D">
        <w:rPr>
          <w:sz w:val="28"/>
          <w:szCs w:val="28"/>
          <w:lang w:val="uk-UA" w:eastAsia="zh-CN"/>
        </w:rPr>
        <w:t>Дохідна частина бюджету Ананьївської міської територіальної громади за ІV квартал 2021 року по загальному фонду виконана на 99,6% до затвердженого плану (без урахування трансфертів) або на 437,0 тис. грн. менше запланова</w:t>
      </w:r>
      <w:r w:rsidR="000D37B6">
        <w:rPr>
          <w:sz w:val="28"/>
          <w:szCs w:val="28"/>
          <w:lang w:val="uk-UA" w:eastAsia="zh-CN"/>
        </w:rPr>
        <w:t>ного обсягу (план 96114,0</w:t>
      </w:r>
      <w:r w:rsidRPr="00CD677D">
        <w:rPr>
          <w:sz w:val="28"/>
          <w:szCs w:val="28"/>
          <w:lang w:val="uk-UA" w:eastAsia="zh-CN"/>
        </w:rPr>
        <w:t xml:space="preserve"> тис. грн., виконання 95677,0 тис. грн.).</w:t>
      </w:r>
    </w:p>
    <w:p w:rsidR="00CD677D" w:rsidRPr="00CD677D" w:rsidRDefault="00CD677D" w:rsidP="00CD677D">
      <w:pPr>
        <w:tabs>
          <w:tab w:val="left" w:pos="0"/>
        </w:tabs>
        <w:ind w:firstLine="709"/>
        <w:jc w:val="both"/>
        <w:rPr>
          <w:sz w:val="28"/>
          <w:szCs w:val="28"/>
          <w:lang w:val="uk-UA" w:eastAsia="zh-CN"/>
        </w:rPr>
      </w:pPr>
      <w:r w:rsidRPr="00CD677D">
        <w:rPr>
          <w:sz w:val="28"/>
          <w:szCs w:val="28"/>
          <w:lang w:val="uk-UA" w:eastAsia="zh-CN"/>
        </w:rPr>
        <w:t xml:space="preserve">Видаткова частина бюджету Ананьївської міської територіальної громади за </w:t>
      </w:r>
      <w:r w:rsidRPr="00CD677D">
        <w:rPr>
          <w:sz w:val="28"/>
          <w:szCs w:val="28"/>
          <w:lang w:eastAsia="zh-CN"/>
        </w:rPr>
        <w:t>2021</w:t>
      </w:r>
      <w:r w:rsidRPr="00CD677D">
        <w:rPr>
          <w:sz w:val="28"/>
          <w:szCs w:val="28"/>
          <w:lang w:val="uk-UA" w:eastAsia="zh-CN"/>
        </w:rPr>
        <w:t>рік  по заг</w:t>
      </w:r>
      <w:r w:rsidR="000D37B6">
        <w:rPr>
          <w:sz w:val="28"/>
          <w:szCs w:val="28"/>
          <w:lang w:val="uk-UA" w:eastAsia="zh-CN"/>
        </w:rPr>
        <w:t>альному фонду виконана на 94,3%</w:t>
      </w:r>
      <w:r w:rsidRPr="00CD677D">
        <w:rPr>
          <w:sz w:val="28"/>
          <w:szCs w:val="28"/>
          <w:lang w:val="uk-UA" w:eastAsia="zh-CN"/>
        </w:rPr>
        <w:t xml:space="preserve"> до затвердженого плану з урахуванням змін, або на 10445,1 тис. грн. менше затвердженого плану (план 183859,5 тис. грн., виконання 173414,4 тис. </w:t>
      </w:r>
      <w:r w:rsidR="000D37B6">
        <w:rPr>
          <w:sz w:val="28"/>
          <w:szCs w:val="28"/>
          <w:lang w:val="uk-UA" w:eastAsia="zh-CN"/>
        </w:rPr>
        <w:t>грн.</w:t>
      </w:r>
      <w:r w:rsidRPr="00CD677D">
        <w:rPr>
          <w:sz w:val="28"/>
          <w:szCs w:val="28"/>
          <w:lang w:val="uk-UA" w:eastAsia="zh-CN"/>
        </w:rPr>
        <w:t>); по спеціальному фонду – на 95,6% річних призначень, або на 1040,3 тис.</w:t>
      </w:r>
      <w:r w:rsidR="000D37B6">
        <w:rPr>
          <w:sz w:val="28"/>
          <w:szCs w:val="28"/>
          <w:lang w:val="uk-UA" w:eastAsia="zh-CN"/>
        </w:rPr>
        <w:t xml:space="preserve"> </w:t>
      </w:r>
      <w:r w:rsidRPr="00CD677D">
        <w:rPr>
          <w:sz w:val="28"/>
          <w:szCs w:val="28"/>
          <w:lang w:val="uk-UA" w:eastAsia="zh-CN"/>
        </w:rPr>
        <w:t xml:space="preserve">грн. менше (план 25086,2 тис. грн., виконання 24045,9 тис. </w:t>
      </w:r>
      <w:r w:rsidR="000D37B6">
        <w:rPr>
          <w:sz w:val="28"/>
          <w:szCs w:val="28"/>
          <w:lang w:val="uk-UA" w:eastAsia="zh-CN"/>
        </w:rPr>
        <w:t>грн.</w:t>
      </w:r>
      <w:r w:rsidRPr="00CD677D">
        <w:rPr>
          <w:sz w:val="28"/>
          <w:szCs w:val="28"/>
          <w:lang w:val="uk-UA" w:eastAsia="zh-CN"/>
        </w:rPr>
        <w:t>).</w:t>
      </w:r>
    </w:p>
    <w:p w:rsidR="00CD677D" w:rsidRPr="00CD677D" w:rsidRDefault="00CD677D" w:rsidP="00CD677D">
      <w:pPr>
        <w:tabs>
          <w:tab w:val="left" w:pos="0"/>
        </w:tabs>
        <w:ind w:firstLine="709"/>
        <w:jc w:val="both"/>
        <w:rPr>
          <w:sz w:val="28"/>
          <w:szCs w:val="28"/>
          <w:lang w:val="uk-UA" w:eastAsia="zh-CN"/>
        </w:rPr>
      </w:pPr>
      <w:r w:rsidRPr="00CD677D">
        <w:rPr>
          <w:sz w:val="28"/>
          <w:szCs w:val="28"/>
          <w:lang w:val="uk-UA" w:eastAsia="zh-CN"/>
        </w:rPr>
        <w:t>Заробітна плата з нарахуваннями та енергоносії по всіх галузях бюджетної сфери профінансовані та оплачені стовідсотково. Заборгованість відсутня.</w:t>
      </w:r>
    </w:p>
    <w:p w:rsidR="00CD677D" w:rsidRPr="00CD677D" w:rsidRDefault="00CD677D" w:rsidP="00CD677D">
      <w:pPr>
        <w:tabs>
          <w:tab w:val="left" w:pos="0"/>
        </w:tabs>
        <w:ind w:firstLine="709"/>
        <w:jc w:val="both"/>
        <w:rPr>
          <w:sz w:val="28"/>
          <w:szCs w:val="28"/>
          <w:lang w:val="uk-UA" w:eastAsia="zh-CN"/>
        </w:rPr>
      </w:pPr>
      <w:r w:rsidRPr="00CD677D">
        <w:rPr>
          <w:sz w:val="28"/>
          <w:szCs w:val="28"/>
          <w:lang w:val="uk-UA" w:eastAsia="zh-CN"/>
        </w:rPr>
        <w:t xml:space="preserve">Видатки на продукти харчування, медикаменти, енергоносії профінансовані відповідно до плану асигнувань та заявок головних розпорядників коштів. </w:t>
      </w:r>
    </w:p>
    <w:p w:rsidR="00CD677D" w:rsidRPr="00EE6960" w:rsidRDefault="00CD677D" w:rsidP="00CD677D">
      <w:pPr>
        <w:jc w:val="both"/>
        <w:rPr>
          <w:lang w:val="uk-UA" w:eastAsia="zh-CN"/>
        </w:rPr>
      </w:pPr>
      <w:r w:rsidRPr="00CD677D">
        <w:rPr>
          <w:sz w:val="28"/>
          <w:szCs w:val="28"/>
          <w:lang w:val="uk-UA" w:eastAsia="zh-CN"/>
        </w:rPr>
        <w:t xml:space="preserve">        </w:t>
      </w:r>
    </w:p>
    <w:p w:rsidR="00CD677D" w:rsidRPr="00CD677D" w:rsidRDefault="000D37B6" w:rsidP="00EE6960">
      <w:pPr>
        <w:tabs>
          <w:tab w:val="left" w:pos="0"/>
        </w:tabs>
        <w:jc w:val="center"/>
        <w:rPr>
          <w:b/>
          <w:sz w:val="28"/>
          <w:szCs w:val="28"/>
          <w:lang w:val="uk-UA"/>
        </w:rPr>
      </w:pPr>
      <w:r>
        <w:rPr>
          <w:b/>
          <w:sz w:val="28"/>
          <w:szCs w:val="28"/>
          <w:lang w:val="uk-UA"/>
        </w:rPr>
        <w:t xml:space="preserve">ІІ. </w:t>
      </w:r>
      <w:r w:rsidR="00CD677D" w:rsidRPr="00CD677D">
        <w:rPr>
          <w:b/>
          <w:sz w:val="28"/>
          <w:szCs w:val="28"/>
          <w:lang w:val="uk-UA"/>
        </w:rPr>
        <w:t>Доходи</w:t>
      </w:r>
    </w:p>
    <w:p w:rsidR="00CD677D" w:rsidRPr="00EE6960" w:rsidRDefault="00CD677D" w:rsidP="00CD677D">
      <w:pPr>
        <w:tabs>
          <w:tab w:val="left" w:pos="5380"/>
        </w:tabs>
        <w:jc w:val="both"/>
        <w:rPr>
          <w:highlight w:val="yellow"/>
          <w:lang w:val="uk-UA"/>
        </w:rPr>
      </w:pPr>
      <w:r w:rsidRPr="00CD677D">
        <w:rPr>
          <w:sz w:val="28"/>
          <w:szCs w:val="28"/>
          <w:highlight w:val="yellow"/>
          <w:lang w:val="uk-UA"/>
        </w:rPr>
        <w:t xml:space="preserve">     </w:t>
      </w:r>
    </w:p>
    <w:p w:rsidR="00CD677D" w:rsidRPr="00CD677D" w:rsidRDefault="00CD677D" w:rsidP="00CD677D">
      <w:pPr>
        <w:shd w:val="clear" w:color="auto" w:fill="FFFFFF"/>
        <w:tabs>
          <w:tab w:val="left" w:pos="709"/>
          <w:tab w:val="left" w:pos="5380"/>
        </w:tabs>
        <w:jc w:val="both"/>
        <w:rPr>
          <w:sz w:val="28"/>
          <w:szCs w:val="28"/>
          <w:lang w:val="uk-UA"/>
        </w:rPr>
      </w:pPr>
      <w:r w:rsidRPr="00CD677D">
        <w:rPr>
          <w:sz w:val="28"/>
          <w:szCs w:val="28"/>
          <w:lang w:val="uk-UA"/>
        </w:rPr>
        <w:t xml:space="preserve">          Виконання планових показників дохідної частини бюджету Ананьївської міської територіальної громади  по загальному фон</w:t>
      </w:r>
      <w:r w:rsidR="000D37B6">
        <w:rPr>
          <w:sz w:val="28"/>
          <w:szCs w:val="28"/>
          <w:lang w:val="uk-UA"/>
        </w:rPr>
        <w:t xml:space="preserve">ду з урахуванням внесених змін </w:t>
      </w:r>
      <w:r w:rsidRPr="00CD677D">
        <w:rPr>
          <w:sz w:val="28"/>
          <w:szCs w:val="28"/>
          <w:lang w:val="uk-UA"/>
        </w:rPr>
        <w:t xml:space="preserve">за 2021 </w:t>
      </w:r>
      <w:r w:rsidR="000D37B6">
        <w:rPr>
          <w:sz w:val="28"/>
          <w:szCs w:val="28"/>
          <w:lang w:val="uk-UA"/>
        </w:rPr>
        <w:t xml:space="preserve">рік становить 99,6%, при плані </w:t>
      </w:r>
      <w:r w:rsidRPr="00CD677D">
        <w:rPr>
          <w:sz w:val="28"/>
          <w:szCs w:val="28"/>
          <w:lang w:val="uk-UA"/>
        </w:rPr>
        <w:t>178502,2 тис. грн., фактично надійшло 177850,3 тис. грн., або на  651,9 тис. грн. менше.</w:t>
      </w:r>
      <w:r w:rsidRPr="00CD677D">
        <w:rPr>
          <w:sz w:val="28"/>
          <w:szCs w:val="28"/>
          <w:lang w:val="uk-UA"/>
        </w:rPr>
        <w:tab/>
      </w:r>
    </w:p>
    <w:p w:rsidR="00CD677D" w:rsidRPr="00CD677D" w:rsidRDefault="00CD677D" w:rsidP="00CD677D">
      <w:pPr>
        <w:tabs>
          <w:tab w:val="left" w:pos="709"/>
        </w:tabs>
        <w:jc w:val="both"/>
        <w:rPr>
          <w:sz w:val="28"/>
          <w:szCs w:val="28"/>
          <w:lang w:val="uk-UA"/>
        </w:rPr>
      </w:pPr>
      <w:r w:rsidRPr="00CD677D">
        <w:rPr>
          <w:sz w:val="28"/>
          <w:szCs w:val="28"/>
          <w:lang w:val="uk-UA"/>
        </w:rPr>
        <w:lastRenderedPageBreak/>
        <w:t xml:space="preserve">        </w:t>
      </w:r>
      <w:r>
        <w:rPr>
          <w:sz w:val="28"/>
          <w:szCs w:val="28"/>
          <w:lang w:val="uk-UA"/>
        </w:rPr>
        <w:t xml:space="preserve"> </w:t>
      </w:r>
      <w:r w:rsidRPr="00CD677D">
        <w:rPr>
          <w:sz w:val="28"/>
          <w:szCs w:val="28"/>
          <w:lang w:val="uk-UA"/>
        </w:rPr>
        <w:t>Офіційних трансфертів отримано у сумі 82173,3 тис. грн., при плані 82388,2 тис.</w:t>
      </w:r>
      <w:r w:rsidR="00CB5A83">
        <w:rPr>
          <w:sz w:val="28"/>
          <w:szCs w:val="28"/>
          <w:lang w:val="uk-UA"/>
        </w:rPr>
        <w:t xml:space="preserve"> </w:t>
      </w:r>
      <w:r w:rsidRPr="00CD677D">
        <w:rPr>
          <w:sz w:val="28"/>
          <w:szCs w:val="28"/>
          <w:lang w:val="uk-UA"/>
        </w:rPr>
        <w:t>грн., що складає 99,7% планових призначень або на 214,9 тис.</w:t>
      </w:r>
      <w:r w:rsidR="00CB5A83">
        <w:rPr>
          <w:sz w:val="28"/>
          <w:szCs w:val="28"/>
          <w:lang w:val="uk-UA"/>
        </w:rPr>
        <w:t xml:space="preserve"> </w:t>
      </w:r>
      <w:r w:rsidRPr="00CD677D">
        <w:rPr>
          <w:sz w:val="28"/>
          <w:szCs w:val="28"/>
          <w:lang w:val="uk-UA"/>
        </w:rPr>
        <w:t xml:space="preserve">грн. менше. </w:t>
      </w:r>
      <w:proofErr w:type="spellStart"/>
      <w:r w:rsidRPr="00CD677D">
        <w:rPr>
          <w:sz w:val="28"/>
          <w:szCs w:val="28"/>
          <w:lang w:val="uk-UA"/>
        </w:rPr>
        <w:t>Недоотримано</w:t>
      </w:r>
      <w:proofErr w:type="spellEnd"/>
      <w:r w:rsidRPr="00CD677D">
        <w:rPr>
          <w:sz w:val="28"/>
          <w:szCs w:val="28"/>
          <w:lang w:val="uk-UA"/>
        </w:rPr>
        <w:t xml:space="preserve"> субвенції:</w:t>
      </w:r>
    </w:p>
    <w:p w:rsidR="00CD677D" w:rsidRPr="00CD677D" w:rsidRDefault="00CD677D" w:rsidP="00CD677D">
      <w:pPr>
        <w:shd w:val="clear" w:color="auto" w:fill="FFFFFF"/>
        <w:tabs>
          <w:tab w:val="left" w:pos="709"/>
          <w:tab w:val="left" w:pos="5380"/>
        </w:tabs>
        <w:jc w:val="both"/>
        <w:rPr>
          <w:sz w:val="28"/>
          <w:szCs w:val="28"/>
          <w:lang w:val="uk-UA"/>
        </w:rPr>
      </w:pPr>
      <w:r>
        <w:rPr>
          <w:sz w:val="28"/>
          <w:szCs w:val="28"/>
          <w:lang w:val="uk-UA"/>
        </w:rPr>
        <w:t xml:space="preserve">         </w:t>
      </w:r>
      <w:r w:rsidRPr="00CD677D">
        <w:rPr>
          <w:sz w:val="28"/>
          <w:szCs w:val="28"/>
          <w:lang w:val="uk-UA"/>
        </w:rPr>
        <w:t>- 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79,9% або на 214,1 тис. грн. менше;</w:t>
      </w:r>
    </w:p>
    <w:p w:rsidR="00CD677D" w:rsidRPr="00CD677D" w:rsidRDefault="00CD677D" w:rsidP="00CD677D">
      <w:pPr>
        <w:shd w:val="clear" w:color="auto" w:fill="FFFFFF"/>
        <w:tabs>
          <w:tab w:val="left" w:pos="5380"/>
        </w:tabs>
        <w:jc w:val="both"/>
        <w:rPr>
          <w:sz w:val="28"/>
          <w:szCs w:val="28"/>
          <w:lang w:val="uk-UA"/>
        </w:rPr>
      </w:pPr>
      <w:r>
        <w:rPr>
          <w:sz w:val="28"/>
          <w:szCs w:val="28"/>
          <w:lang w:val="uk-UA"/>
        </w:rPr>
        <w:t xml:space="preserve">          -</w:t>
      </w:r>
      <w:r w:rsidRPr="00CD677D">
        <w:rPr>
          <w:sz w:val="28"/>
          <w:szCs w:val="28"/>
          <w:lang w:val="uk-UA"/>
        </w:rPr>
        <w:t xml:space="preserve"> Субвенція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 – 99,9% або на 0,8 тис. грн. менше.</w:t>
      </w:r>
    </w:p>
    <w:p w:rsidR="00CD677D" w:rsidRPr="00CD677D" w:rsidRDefault="00CD677D" w:rsidP="00CD677D">
      <w:pPr>
        <w:jc w:val="center"/>
        <w:rPr>
          <w:b/>
          <w:bCs/>
          <w:lang w:val="uk-UA"/>
        </w:rPr>
      </w:pPr>
    </w:p>
    <w:p w:rsidR="00CD677D" w:rsidRPr="00CD677D" w:rsidRDefault="00CD677D" w:rsidP="00CD677D">
      <w:pPr>
        <w:jc w:val="center"/>
        <w:rPr>
          <w:b/>
          <w:bCs/>
          <w:lang w:val="uk-UA"/>
        </w:rPr>
      </w:pPr>
      <w:r w:rsidRPr="00CD677D">
        <w:rPr>
          <w:b/>
          <w:bCs/>
          <w:lang w:val="uk-UA"/>
        </w:rPr>
        <w:t>Динаміка надходжень</w:t>
      </w:r>
    </w:p>
    <w:p w:rsidR="00CD677D" w:rsidRPr="00CD677D" w:rsidRDefault="00CD677D" w:rsidP="00CD677D">
      <w:pPr>
        <w:jc w:val="center"/>
        <w:rPr>
          <w:b/>
          <w:bCs/>
          <w:lang w:val="uk-UA"/>
        </w:rPr>
      </w:pPr>
      <w:r w:rsidRPr="00CD677D">
        <w:rPr>
          <w:b/>
          <w:bCs/>
          <w:noProof/>
        </w:rPr>
        <w:drawing>
          <wp:inline distT="0" distB="0" distL="0" distR="0" wp14:anchorId="08620409" wp14:editId="3341786E">
            <wp:extent cx="4334510" cy="2907665"/>
            <wp:effectExtent l="0" t="0" r="0" b="0"/>
            <wp:docPr id="3"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D677D" w:rsidRDefault="00CD677D" w:rsidP="00CD677D">
      <w:pPr>
        <w:jc w:val="center"/>
        <w:rPr>
          <w:b/>
          <w:bCs/>
          <w:lang w:val="uk-UA"/>
        </w:rPr>
      </w:pPr>
    </w:p>
    <w:p w:rsidR="00CD677D" w:rsidRDefault="00CD677D" w:rsidP="00CD677D">
      <w:pPr>
        <w:jc w:val="center"/>
        <w:rPr>
          <w:b/>
          <w:bCs/>
          <w:lang w:val="uk-UA"/>
        </w:rPr>
      </w:pPr>
    </w:p>
    <w:p w:rsidR="00CD677D" w:rsidRDefault="00CD677D" w:rsidP="00CD677D">
      <w:pPr>
        <w:jc w:val="center"/>
        <w:rPr>
          <w:b/>
          <w:bCs/>
          <w:lang w:val="uk-UA"/>
        </w:rPr>
      </w:pPr>
    </w:p>
    <w:p w:rsidR="00CD677D" w:rsidRDefault="00CD677D" w:rsidP="00CD677D">
      <w:pPr>
        <w:jc w:val="center"/>
        <w:rPr>
          <w:b/>
          <w:bCs/>
          <w:lang w:val="uk-UA"/>
        </w:rPr>
      </w:pPr>
    </w:p>
    <w:p w:rsidR="00CD677D" w:rsidRDefault="00CD677D" w:rsidP="00CD677D">
      <w:pPr>
        <w:jc w:val="center"/>
        <w:rPr>
          <w:b/>
          <w:bCs/>
          <w:lang w:val="uk-UA"/>
        </w:rPr>
      </w:pPr>
    </w:p>
    <w:p w:rsidR="00CD677D" w:rsidRDefault="00CD677D" w:rsidP="00CD677D">
      <w:pPr>
        <w:jc w:val="center"/>
        <w:rPr>
          <w:b/>
          <w:bCs/>
          <w:lang w:val="uk-UA"/>
        </w:rPr>
      </w:pPr>
    </w:p>
    <w:p w:rsidR="00CD677D" w:rsidRDefault="00CD677D" w:rsidP="00CD677D">
      <w:pPr>
        <w:jc w:val="center"/>
        <w:rPr>
          <w:b/>
          <w:bCs/>
          <w:lang w:val="uk-UA"/>
        </w:rPr>
      </w:pPr>
    </w:p>
    <w:p w:rsidR="00CD677D" w:rsidRDefault="00CD677D" w:rsidP="00CD677D">
      <w:pPr>
        <w:jc w:val="center"/>
        <w:rPr>
          <w:b/>
          <w:bCs/>
          <w:lang w:val="uk-UA"/>
        </w:rPr>
      </w:pPr>
    </w:p>
    <w:p w:rsidR="00CD677D" w:rsidRDefault="00CD677D" w:rsidP="00CD677D">
      <w:pPr>
        <w:jc w:val="center"/>
        <w:rPr>
          <w:b/>
          <w:bCs/>
          <w:lang w:val="uk-UA"/>
        </w:rPr>
      </w:pPr>
    </w:p>
    <w:p w:rsidR="00CD677D" w:rsidRDefault="00CD677D" w:rsidP="00CD677D">
      <w:pPr>
        <w:jc w:val="center"/>
        <w:rPr>
          <w:b/>
          <w:bCs/>
          <w:lang w:val="uk-UA"/>
        </w:rPr>
      </w:pPr>
    </w:p>
    <w:p w:rsidR="00CD677D" w:rsidRDefault="00CD677D" w:rsidP="00CD677D">
      <w:pPr>
        <w:jc w:val="center"/>
        <w:rPr>
          <w:b/>
          <w:bCs/>
          <w:lang w:val="uk-UA"/>
        </w:rPr>
      </w:pPr>
    </w:p>
    <w:p w:rsidR="00CD677D" w:rsidRDefault="00CD677D" w:rsidP="00CD677D">
      <w:pPr>
        <w:jc w:val="center"/>
        <w:rPr>
          <w:b/>
          <w:bCs/>
          <w:lang w:val="uk-UA"/>
        </w:rPr>
      </w:pPr>
    </w:p>
    <w:p w:rsidR="00CD677D" w:rsidRDefault="00CD677D" w:rsidP="00CD677D">
      <w:pPr>
        <w:jc w:val="center"/>
        <w:rPr>
          <w:b/>
          <w:bCs/>
          <w:lang w:val="uk-UA"/>
        </w:rPr>
      </w:pPr>
    </w:p>
    <w:p w:rsidR="00CD677D" w:rsidRDefault="00CD677D" w:rsidP="00CD677D">
      <w:pPr>
        <w:jc w:val="center"/>
        <w:rPr>
          <w:b/>
          <w:bCs/>
          <w:lang w:val="uk-UA"/>
        </w:rPr>
      </w:pPr>
    </w:p>
    <w:p w:rsidR="00CD677D" w:rsidRDefault="00CD677D" w:rsidP="00CD677D">
      <w:pPr>
        <w:jc w:val="center"/>
        <w:rPr>
          <w:b/>
          <w:bCs/>
          <w:lang w:val="uk-UA"/>
        </w:rPr>
      </w:pPr>
    </w:p>
    <w:p w:rsidR="00CD677D" w:rsidRDefault="00CD677D" w:rsidP="00CD677D">
      <w:pPr>
        <w:jc w:val="center"/>
        <w:rPr>
          <w:b/>
          <w:bCs/>
          <w:lang w:val="uk-UA"/>
        </w:rPr>
      </w:pPr>
    </w:p>
    <w:p w:rsidR="00CD677D" w:rsidRDefault="00CD677D" w:rsidP="00CD677D">
      <w:pPr>
        <w:jc w:val="center"/>
        <w:rPr>
          <w:b/>
          <w:bCs/>
          <w:lang w:val="uk-UA"/>
        </w:rPr>
      </w:pPr>
    </w:p>
    <w:p w:rsidR="00CD677D" w:rsidRDefault="00CD677D" w:rsidP="00CD677D">
      <w:pPr>
        <w:jc w:val="center"/>
        <w:rPr>
          <w:b/>
          <w:bCs/>
          <w:lang w:val="uk-UA"/>
        </w:rPr>
      </w:pPr>
    </w:p>
    <w:p w:rsidR="00CD677D" w:rsidRDefault="00CD677D" w:rsidP="00CD677D">
      <w:pPr>
        <w:jc w:val="center"/>
        <w:rPr>
          <w:b/>
          <w:bCs/>
          <w:lang w:val="uk-UA"/>
        </w:rPr>
      </w:pPr>
    </w:p>
    <w:p w:rsidR="00CB5A83" w:rsidRDefault="00CB5A83" w:rsidP="00CD677D">
      <w:pPr>
        <w:jc w:val="center"/>
        <w:rPr>
          <w:b/>
          <w:bCs/>
          <w:lang w:val="uk-UA"/>
        </w:rPr>
      </w:pPr>
    </w:p>
    <w:p w:rsidR="00CB5A83" w:rsidRDefault="00CB5A83" w:rsidP="00CD677D">
      <w:pPr>
        <w:jc w:val="center"/>
        <w:rPr>
          <w:b/>
          <w:bCs/>
          <w:lang w:val="uk-UA"/>
        </w:rPr>
      </w:pPr>
    </w:p>
    <w:p w:rsidR="00CB5A83" w:rsidRDefault="00CB5A83" w:rsidP="00CD677D">
      <w:pPr>
        <w:jc w:val="center"/>
        <w:rPr>
          <w:b/>
          <w:bCs/>
          <w:lang w:val="uk-UA"/>
        </w:rPr>
      </w:pPr>
    </w:p>
    <w:p w:rsidR="00CD677D" w:rsidRPr="00CD677D" w:rsidRDefault="00CD677D" w:rsidP="00CD677D">
      <w:pPr>
        <w:jc w:val="center"/>
        <w:rPr>
          <w:b/>
          <w:bCs/>
          <w:lang w:val="uk-UA"/>
        </w:rPr>
      </w:pPr>
    </w:p>
    <w:p w:rsidR="00CD677D" w:rsidRPr="00CD677D" w:rsidRDefault="00CD677D" w:rsidP="00CD677D">
      <w:pPr>
        <w:jc w:val="center"/>
        <w:rPr>
          <w:b/>
          <w:bCs/>
          <w:sz w:val="28"/>
          <w:szCs w:val="28"/>
          <w:lang w:val="uk-UA"/>
        </w:rPr>
      </w:pPr>
      <w:r w:rsidRPr="00CD677D">
        <w:rPr>
          <w:b/>
          <w:bCs/>
          <w:sz w:val="28"/>
          <w:szCs w:val="28"/>
          <w:lang w:val="uk-UA"/>
        </w:rPr>
        <w:lastRenderedPageBreak/>
        <w:t xml:space="preserve">Структура фактичного формування надходжень </w:t>
      </w:r>
    </w:p>
    <w:p w:rsidR="00CD677D" w:rsidRPr="00CD677D" w:rsidRDefault="000D37B6" w:rsidP="00CD677D">
      <w:pPr>
        <w:jc w:val="center"/>
        <w:rPr>
          <w:b/>
          <w:bCs/>
          <w:sz w:val="28"/>
          <w:szCs w:val="28"/>
          <w:lang w:val="uk-UA"/>
        </w:rPr>
      </w:pPr>
      <w:r>
        <w:rPr>
          <w:b/>
          <w:bCs/>
          <w:sz w:val="28"/>
          <w:szCs w:val="28"/>
          <w:lang w:val="uk-UA"/>
        </w:rPr>
        <w:t xml:space="preserve"> бюджету </w:t>
      </w:r>
      <w:r w:rsidR="00CD677D" w:rsidRPr="00CD677D">
        <w:rPr>
          <w:b/>
          <w:bCs/>
          <w:sz w:val="28"/>
          <w:szCs w:val="28"/>
          <w:lang w:val="uk-UA"/>
        </w:rPr>
        <w:t>Ананьївської міської територіальної громади</w:t>
      </w:r>
    </w:p>
    <w:p w:rsidR="00CD677D" w:rsidRPr="00CD677D" w:rsidRDefault="00CD677D" w:rsidP="00CD677D">
      <w:pPr>
        <w:jc w:val="center"/>
        <w:rPr>
          <w:b/>
          <w:bCs/>
          <w:sz w:val="28"/>
          <w:szCs w:val="28"/>
          <w:lang w:val="uk-UA"/>
        </w:rPr>
      </w:pPr>
      <w:r w:rsidRPr="00CD677D">
        <w:rPr>
          <w:b/>
          <w:bCs/>
          <w:sz w:val="28"/>
          <w:szCs w:val="28"/>
          <w:lang w:val="uk-UA"/>
        </w:rPr>
        <w:t xml:space="preserve"> у 2021 році</w:t>
      </w:r>
    </w:p>
    <w:p w:rsidR="00CD677D" w:rsidRPr="00CD677D" w:rsidRDefault="00CD677D" w:rsidP="00CD677D">
      <w:pPr>
        <w:jc w:val="center"/>
        <w:rPr>
          <w:b/>
          <w:bCs/>
          <w:sz w:val="28"/>
          <w:szCs w:val="28"/>
          <w:lang w:val="uk-UA"/>
        </w:rPr>
      </w:pPr>
      <w:r w:rsidRPr="00CD677D">
        <w:rPr>
          <w:b/>
          <w:bCs/>
          <w:sz w:val="28"/>
          <w:szCs w:val="28"/>
          <w:lang w:val="uk-UA"/>
        </w:rPr>
        <w:t>Всього 197619,2 тис. грн.</w:t>
      </w:r>
    </w:p>
    <w:p w:rsidR="00CD677D" w:rsidRPr="00CD677D" w:rsidRDefault="00CD677D" w:rsidP="00CD677D">
      <w:pPr>
        <w:jc w:val="center"/>
        <w:rPr>
          <w:b/>
          <w:bCs/>
          <w:lang w:val="uk-UA"/>
        </w:rPr>
      </w:pPr>
    </w:p>
    <w:p w:rsidR="00CD677D" w:rsidRPr="00CD677D" w:rsidRDefault="00CD677D" w:rsidP="00CD677D">
      <w:pPr>
        <w:jc w:val="center"/>
        <w:rPr>
          <w:b/>
          <w:bCs/>
          <w:lang w:val="uk-UA"/>
        </w:rPr>
      </w:pPr>
    </w:p>
    <w:p w:rsidR="00CD677D" w:rsidRPr="00CD677D" w:rsidRDefault="00CD677D" w:rsidP="00CD677D">
      <w:pPr>
        <w:jc w:val="center"/>
        <w:rPr>
          <w:b/>
          <w:bCs/>
          <w:lang w:val="uk-UA"/>
        </w:rPr>
      </w:pPr>
      <w:r w:rsidRPr="00CD677D">
        <w:rPr>
          <w:noProof/>
          <w:szCs w:val="20"/>
        </w:rPr>
        <w:drawing>
          <wp:inline distT="0" distB="0" distL="0" distR="0" wp14:anchorId="71B5DF69" wp14:editId="6948BBF9">
            <wp:extent cx="5739765" cy="3294380"/>
            <wp:effectExtent l="0" t="0" r="13335" b="2032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25334" w:type="dxa"/>
        <w:tblInd w:w="108" w:type="dxa"/>
        <w:tblLook w:val="04A0" w:firstRow="1" w:lastRow="0" w:firstColumn="1" w:lastColumn="0" w:noHBand="0" w:noVBand="1"/>
      </w:tblPr>
      <w:tblGrid>
        <w:gridCol w:w="1336"/>
        <w:gridCol w:w="6576"/>
        <w:gridCol w:w="3392"/>
        <w:gridCol w:w="3805"/>
        <w:gridCol w:w="2498"/>
        <w:gridCol w:w="2774"/>
        <w:gridCol w:w="1824"/>
        <w:gridCol w:w="1350"/>
        <w:gridCol w:w="1779"/>
      </w:tblGrid>
      <w:tr w:rsidR="00CD677D" w:rsidRPr="00CD677D" w:rsidTr="00CD677D">
        <w:trPr>
          <w:trHeight w:val="255"/>
        </w:trPr>
        <w:tc>
          <w:tcPr>
            <w:tcW w:w="1336" w:type="dxa"/>
            <w:noWrap/>
            <w:vAlign w:val="bottom"/>
            <w:hideMark/>
          </w:tcPr>
          <w:p w:rsidR="00CD677D" w:rsidRPr="00CD677D" w:rsidRDefault="00CD677D" w:rsidP="00CD677D">
            <w:pPr>
              <w:rPr>
                <w:sz w:val="20"/>
                <w:szCs w:val="20"/>
              </w:rPr>
            </w:pPr>
          </w:p>
        </w:tc>
        <w:tc>
          <w:tcPr>
            <w:tcW w:w="6576" w:type="dxa"/>
            <w:noWrap/>
            <w:vAlign w:val="center"/>
            <w:hideMark/>
          </w:tcPr>
          <w:p w:rsidR="00CD677D" w:rsidRPr="00CD677D" w:rsidRDefault="00CD677D" w:rsidP="00CD677D">
            <w:pPr>
              <w:rPr>
                <w:sz w:val="20"/>
                <w:szCs w:val="20"/>
              </w:rPr>
            </w:pPr>
          </w:p>
        </w:tc>
        <w:tc>
          <w:tcPr>
            <w:tcW w:w="3392" w:type="dxa"/>
            <w:noWrap/>
            <w:vAlign w:val="bottom"/>
            <w:hideMark/>
          </w:tcPr>
          <w:p w:rsidR="00CD677D" w:rsidRPr="00CD677D" w:rsidRDefault="00CD677D" w:rsidP="00CD677D">
            <w:pPr>
              <w:rPr>
                <w:sz w:val="20"/>
                <w:szCs w:val="20"/>
              </w:rPr>
            </w:pPr>
          </w:p>
        </w:tc>
        <w:tc>
          <w:tcPr>
            <w:tcW w:w="3805" w:type="dxa"/>
            <w:noWrap/>
            <w:vAlign w:val="bottom"/>
            <w:hideMark/>
          </w:tcPr>
          <w:p w:rsidR="00CD677D" w:rsidRPr="00CD677D" w:rsidRDefault="00CD677D" w:rsidP="00CD677D">
            <w:pPr>
              <w:rPr>
                <w:sz w:val="20"/>
                <w:szCs w:val="20"/>
              </w:rPr>
            </w:pPr>
          </w:p>
        </w:tc>
        <w:tc>
          <w:tcPr>
            <w:tcW w:w="2498" w:type="dxa"/>
            <w:noWrap/>
            <w:vAlign w:val="bottom"/>
            <w:hideMark/>
          </w:tcPr>
          <w:p w:rsidR="00CD677D" w:rsidRPr="00CD677D" w:rsidRDefault="00CD677D" w:rsidP="00CD677D">
            <w:pPr>
              <w:rPr>
                <w:sz w:val="20"/>
                <w:szCs w:val="20"/>
              </w:rPr>
            </w:pPr>
          </w:p>
        </w:tc>
        <w:tc>
          <w:tcPr>
            <w:tcW w:w="2774" w:type="dxa"/>
            <w:noWrap/>
            <w:vAlign w:val="bottom"/>
            <w:hideMark/>
          </w:tcPr>
          <w:p w:rsidR="00CD677D" w:rsidRPr="00CD677D" w:rsidRDefault="00CD677D" w:rsidP="00CD677D">
            <w:pPr>
              <w:rPr>
                <w:sz w:val="20"/>
                <w:szCs w:val="20"/>
              </w:rPr>
            </w:pPr>
          </w:p>
        </w:tc>
        <w:tc>
          <w:tcPr>
            <w:tcW w:w="1824" w:type="dxa"/>
            <w:noWrap/>
            <w:vAlign w:val="bottom"/>
            <w:hideMark/>
          </w:tcPr>
          <w:p w:rsidR="00CD677D" w:rsidRPr="00CD677D" w:rsidRDefault="00CD677D" w:rsidP="00CD677D">
            <w:pPr>
              <w:rPr>
                <w:sz w:val="20"/>
                <w:szCs w:val="20"/>
              </w:rPr>
            </w:pPr>
          </w:p>
        </w:tc>
        <w:tc>
          <w:tcPr>
            <w:tcW w:w="1350" w:type="dxa"/>
            <w:noWrap/>
            <w:vAlign w:val="bottom"/>
            <w:hideMark/>
          </w:tcPr>
          <w:p w:rsidR="00CD677D" w:rsidRPr="00CD677D" w:rsidRDefault="00CD677D" w:rsidP="00CD677D">
            <w:pPr>
              <w:rPr>
                <w:sz w:val="20"/>
                <w:szCs w:val="20"/>
              </w:rPr>
            </w:pPr>
          </w:p>
        </w:tc>
        <w:tc>
          <w:tcPr>
            <w:tcW w:w="1779" w:type="dxa"/>
            <w:noWrap/>
            <w:vAlign w:val="bottom"/>
            <w:hideMark/>
          </w:tcPr>
          <w:p w:rsidR="00CD677D" w:rsidRPr="00CD677D" w:rsidRDefault="00CD677D" w:rsidP="00CD677D">
            <w:pPr>
              <w:rPr>
                <w:sz w:val="20"/>
                <w:szCs w:val="20"/>
              </w:rPr>
            </w:pPr>
          </w:p>
        </w:tc>
      </w:tr>
    </w:tbl>
    <w:p w:rsidR="00CD677D" w:rsidRPr="00CD677D" w:rsidRDefault="00CD677D" w:rsidP="00CD677D">
      <w:pPr>
        <w:shd w:val="clear" w:color="auto" w:fill="FFFFFF"/>
        <w:tabs>
          <w:tab w:val="left" w:pos="709"/>
          <w:tab w:val="left" w:pos="5380"/>
        </w:tabs>
        <w:jc w:val="both"/>
        <w:rPr>
          <w:sz w:val="28"/>
          <w:szCs w:val="28"/>
          <w:lang w:val="uk-UA"/>
        </w:rPr>
      </w:pPr>
      <w:r w:rsidRPr="00CD677D">
        <w:rPr>
          <w:sz w:val="28"/>
          <w:szCs w:val="28"/>
          <w:lang w:val="uk-UA"/>
        </w:rPr>
        <w:t xml:space="preserve">         Заг</w:t>
      </w:r>
      <w:r w:rsidR="000D37B6">
        <w:rPr>
          <w:sz w:val="28"/>
          <w:szCs w:val="28"/>
          <w:lang w:val="uk-UA"/>
        </w:rPr>
        <w:t xml:space="preserve">альний фонд власних надходжень </w:t>
      </w:r>
      <w:r w:rsidRPr="00CD677D">
        <w:rPr>
          <w:sz w:val="28"/>
          <w:szCs w:val="28"/>
          <w:lang w:val="uk-UA"/>
        </w:rPr>
        <w:t xml:space="preserve">бюджету за 2021 рік (без урахування трансфертів) виконано на 99,6%. </w:t>
      </w:r>
    </w:p>
    <w:p w:rsidR="00CD677D" w:rsidRPr="00CD677D" w:rsidRDefault="000D37B6" w:rsidP="00CD677D">
      <w:pPr>
        <w:shd w:val="clear" w:color="auto" w:fill="FFFFFF"/>
        <w:tabs>
          <w:tab w:val="left" w:pos="5380"/>
        </w:tabs>
        <w:jc w:val="both"/>
        <w:rPr>
          <w:sz w:val="28"/>
          <w:szCs w:val="28"/>
          <w:lang w:val="uk-UA"/>
        </w:rPr>
      </w:pPr>
      <w:r>
        <w:rPr>
          <w:sz w:val="28"/>
          <w:szCs w:val="28"/>
          <w:lang w:val="uk-UA"/>
        </w:rPr>
        <w:t xml:space="preserve">         При плані</w:t>
      </w:r>
      <w:r w:rsidR="00CD677D" w:rsidRPr="00CD677D">
        <w:rPr>
          <w:sz w:val="28"/>
          <w:szCs w:val="28"/>
          <w:lang w:val="uk-UA"/>
        </w:rPr>
        <w:t xml:space="preserve"> 96114,0 тис.</w:t>
      </w:r>
      <w:r>
        <w:rPr>
          <w:sz w:val="28"/>
          <w:szCs w:val="28"/>
          <w:lang w:val="uk-UA"/>
        </w:rPr>
        <w:t xml:space="preserve"> </w:t>
      </w:r>
      <w:r w:rsidR="00CD677D" w:rsidRPr="00CD677D">
        <w:rPr>
          <w:sz w:val="28"/>
          <w:szCs w:val="28"/>
          <w:lang w:val="uk-UA"/>
        </w:rPr>
        <w:t>грн., фактично надійшло 95677,0 тис. грн., що  на 437,0 тис. грн. менше. Виконання бюджету по власним надходженням загального фонду в порівнянні до відповідного періоду минулого року  становить 107,4%, що на 6580,1 тис. грн. більше.</w:t>
      </w:r>
    </w:p>
    <w:p w:rsidR="00CD677D" w:rsidRPr="00CD677D" w:rsidRDefault="00CD677D" w:rsidP="00CD677D">
      <w:pPr>
        <w:shd w:val="clear" w:color="auto" w:fill="FFFFFF"/>
        <w:tabs>
          <w:tab w:val="left" w:pos="5380"/>
        </w:tabs>
        <w:jc w:val="both"/>
        <w:rPr>
          <w:sz w:val="28"/>
          <w:szCs w:val="28"/>
          <w:lang w:val="uk-UA"/>
        </w:rPr>
      </w:pPr>
      <w:r w:rsidRPr="00CD677D">
        <w:rPr>
          <w:sz w:val="28"/>
          <w:szCs w:val="28"/>
          <w:lang w:val="uk-UA"/>
        </w:rPr>
        <w:t xml:space="preserve">       </w:t>
      </w:r>
      <w:r>
        <w:rPr>
          <w:sz w:val="28"/>
          <w:szCs w:val="28"/>
          <w:lang w:val="uk-UA"/>
        </w:rPr>
        <w:t xml:space="preserve">  </w:t>
      </w:r>
      <w:r w:rsidRPr="00CD677D">
        <w:rPr>
          <w:sz w:val="28"/>
          <w:szCs w:val="28"/>
          <w:lang w:val="uk-UA"/>
        </w:rPr>
        <w:t>Питома вага надх</w:t>
      </w:r>
      <w:r w:rsidR="000D37B6">
        <w:rPr>
          <w:sz w:val="28"/>
          <w:szCs w:val="28"/>
          <w:lang w:val="uk-UA"/>
        </w:rPr>
        <w:t>оджень до бюджету</w:t>
      </w:r>
      <w:r w:rsidRPr="00CD677D">
        <w:rPr>
          <w:sz w:val="28"/>
          <w:szCs w:val="28"/>
          <w:lang w:val="uk-UA"/>
        </w:rPr>
        <w:t xml:space="preserve"> Ананьївської міської територіальної громади  по загальному фонду складає:</w:t>
      </w:r>
    </w:p>
    <w:p w:rsidR="00CD677D" w:rsidRDefault="00CD677D" w:rsidP="00CD677D">
      <w:pPr>
        <w:shd w:val="clear" w:color="auto" w:fill="FFFFFF"/>
        <w:tabs>
          <w:tab w:val="left" w:pos="5380"/>
        </w:tabs>
        <w:jc w:val="both"/>
        <w:rPr>
          <w:sz w:val="28"/>
          <w:szCs w:val="28"/>
          <w:lang w:val="uk-UA"/>
        </w:rPr>
      </w:pPr>
    </w:p>
    <w:p w:rsidR="00CD677D" w:rsidRDefault="00CD677D" w:rsidP="00CD677D">
      <w:pPr>
        <w:shd w:val="clear" w:color="auto" w:fill="FFFFFF"/>
        <w:tabs>
          <w:tab w:val="left" w:pos="5380"/>
        </w:tabs>
        <w:jc w:val="both"/>
        <w:rPr>
          <w:sz w:val="28"/>
          <w:szCs w:val="28"/>
          <w:lang w:val="uk-UA"/>
        </w:rPr>
      </w:pPr>
    </w:p>
    <w:p w:rsidR="00CD677D" w:rsidRDefault="00CD677D" w:rsidP="00CD677D">
      <w:pPr>
        <w:shd w:val="clear" w:color="auto" w:fill="FFFFFF"/>
        <w:tabs>
          <w:tab w:val="left" w:pos="5380"/>
        </w:tabs>
        <w:jc w:val="both"/>
        <w:rPr>
          <w:sz w:val="28"/>
          <w:szCs w:val="28"/>
          <w:lang w:val="uk-UA"/>
        </w:rPr>
      </w:pPr>
    </w:p>
    <w:p w:rsidR="00CD677D" w:rsidRDefault="00CD677D" w:rsidP="00CD677D">
      <w:pPr>
        <w:shd w:val="clear" w:color="auto" w:fill="FFFFFF"/>
        <w:tabs>
          <w:tab w:val="left" w:pos="5380"/>
        </w:tabs>
        <w:jc w:val="both"/>
        <w:rPr>
          <w:sz w:val="28"/>
          <w:szCs w:val="28"/>
          <w:lang w:val="uk-UA"/>
        </w:rPr>
      </w:pPr>
    </w:p>
    <w:p w:rsidR="00CD677D" w:rsidRDefault="00CD677D" w:rsidP="00CD677D">
      <w:pPr>
        <w:shd w:val="clear" w:color="auto" w:fill="FFFFFF"/>
        <w:tabs>
          <w:tab w:val="left" w:pos="5380"/>
        </w:tabs>
        <w:jc w:val="both"/>
        <w:rPr>
          <w:sz w:val="28"/>
          <w:szCs w:val="28"/>
          <w:lang w:val="uk-UA"/>
        </w:rPr>
      </w:pPr>
    </w:p>
    <w:p w:rsidR="00CD677D" w:rsidRDefault="00CD677D" w:rsidP="00CD677D">
      <w:pPr>
        <w:shd w:val="clear" w:color="auto" w:fill="FFFFFF"/>
        <w:tabs>
          <w:tab w:val="left" w:pos="5380"/>
        </w:tabs>
        <w:jc w:val="both"/>
        <w:rPr>
          <w:sz w:val="28"/>
          <w:szCs w:val="28"/>
          <w:lang w:val="uk-UA"/>
        </w:rPr>
      </w:pPr>
    </w:p>
    <w:p w:rsidR="00CD677D" w:rsidRDefault="00CD677D" w:rsidP="00CD677D">
      <w:pPr>
        <w:shd w:val="clear" w:color="auto" w:fill="FFFFFF"/>
        <w:tabs>
          <w:tab w:val="left" w:pos="5380"/>
        </w:tabs>
        <w:jc w:val="both"/>
        <w:rPr>
          <w:sz w:val="28"/>
          <w:szCs w:val="28"/>
          <w:lang w:val="uk-UA"/>
        </w:rPr>
      </w:pPr>
    </w:p>
    <w:p w:rsidR="00CD677D" w:rsidRDefault="00CD677D" w:rsidP="00CD677D">
      <w:pPr>
        <w:shd w:val="clear" w:color="auto" w:fill="FFFFFF"/>
        <w:tabs>
          <w:tab w:val="left" w:pos="5380"/>
        </w:tabs>
        <w:jc w:val="both"/>
        <w:rPr>
          <w:sz w:val="28"/>
          <w:szCs w:val="28"/>
          <w:lang w:val="uk-UA"/>
        </w:rPr>
      </w:pPr>
    </w:p>
    <w:p w:rsidR="00CD677D" w:rsidRDefault="00CD677D" w:rsidP="00CD677D">
      <w:pPr>
        <w:shd w:val="clear" w:color="auto" w:fill="FFFFFF"/>
        <w:tabs>
          <w:tab w:val="left" w:pos="5380"/>
        </w:tabs>
        <w:jc w:val="both"/>
        <w:rPr>
          <w:sz w:val="28"/>
          <w:szCs w:val="28"/>
          <w:lang w:val="uk-UA"/>
        </w:rPr>
      </w:pPr>
    </w:p>
    <w:p w:rsidR="00CD677D" w:rsidRDefault="00CD677D" w:rsidP="00CD677D">
      <w:pPr>
        <w:shd w:val="clear" w:color="auto" w:fill="FFFFFF"/>
        <w:tabs>
          <w:tab w:val="left" w:pos="5380"/>
        </w:tabs>
        <w:jc w:val="both"/>
        <w:rPr>
          <w:sz w:val="28"/>
          <w:szCs w:val="28"/>
          <w:lang w:val="uk-UA"/>
        </w:rPr>
      </w:pPr>
    </w:p>
    <w:p w:rsidR="00CD677D" w:rsidRDefault="00CD677D" w:rsidP="00CD677D">
      <w:pPr>
        <w:shd w:val="clear" w:color="auto" w:fill="FFFFFF"/>
        <w:tabs>
          <w:tab w:val="left" w:pos="5380"/>
        </w:tabs>
        <w:jc w:val="both"/>
        <w:rPr>
          <w:sz w:val="28"/>
          <w:szCs w:val="28"/>
          <w:lang w:val="uk-UA"/>
        </w:rPr>
      </w:pPr>
    </w:p>
    <w:p w:rsidR="00CD677D" w:rsidRDefault="00CD677D" w:rsidP="00CD677D">
      <w:pPr>
        <w:shd w:val="clear" w:color="auto" w:fill="FFFFFF"/>
        <w:tabs>
          <w:tab w:val="left" w:pos="5380"/>
        </w:tabs>
        <w:jc w:val="both"/>
        <w:rPr>
          <w:sz w:val="28"/>
          <w:szCs w:val="28"/>
          <w:lang w:val="uk-UA"/>
        </w:rPr>
      </w:pPr>
    </w:p>
    <w:p w:rsidR="00CD677D" w:rsidRDefault="00CD677D" w:rsidP="00CD677D">
      <w:pPr>
        <w:shd w:val="clear" w:color="auto" w:fill="FFFFFF"/>
        <w:tabs>
          <w:tab w:val="left" w:pos="5380"/>
        </w:tabs>
        <w:jc w:val="both"/>
        <w:rPr>
          <w:sz w:val="28"/>
          <w:szCs w:val="28"/>
          <w:lang w:val="uk-UA"/>
        </w:rPr>
      </w:pPr>
    </w:p>
    <w:p w:rsidR="00CD677D" w:rsidRDefault="00CD677D" w:rsidP="00CD677D">
      <w:pPr>
        <w:shd w:val="clear" w:color="auto" w:fill="FFFFFF"/>
        <w:tabs>
          <w:tab w:val="left" w:pos="5380"/>
        </w:tabs>
        <w:jc w:val="both"/>
        <w:rPr>
          <w:sz w:val="28"/>
          <w:szCs w:val="28"/>
          <w:lang w:val="uk-UA"/>
        </w:rPr>
      </w:pPr>
    </w:p>
    <w:p w:rsidR="00CD677D" w:rsidRPr="00CD677D" w:rsidRDefault="00CD677D" w:rsidP="00CD677D">
      <w:pPr>
        <w:shd w:val="clear" w:color="auto" w:fill="FFFFFF"/>
        <w:tabs>
          <w:tab w:val="left" w:pos="5380"/>
        </w:tabs>
        <w:jc w:val="both"/>
        <w:rPr>
          <w:sz w:val="28"/>
          <w:szCs w:val="28"/>
          <w:lang w:val="uk-UA"/>
        </w:rPr>
      </w:pPr>
    </w:p>
    <w:p w:rsidR="00CD677D" w:rsidRPr="00CD677D" w:rsidRDefault="00CD677D" w:rsidP="00CD677D">
      <w:pPr>
        <w:jc w:val="center"/>
        <w:rPr>
          <w:b/>
          <w:bCs/>
          <w:sz w:val="28"/>
          <w:szCs w:val="28"/>
        </w:rPr>
      </w:pPr>
      <w:r w:rsidRPr="00CD677D">
        <w:rPr>
          <w:b/>
          <w:bCs/>
          <w:sz w:val="28"/>
          <w:szCs w:val="28"/>
          <w:lang w:val="uk-UA"/>
        </w:rPr>
        <w:lastRenderedPageBreak/>
        <w:t>Структура доходів загального фонду</w:t>
      </w:r>
    </w:p>
    <w:p w:rsidR="00CD677D" w:rsidRPr="00CD677D" w:rsidRDefault="00CD677D" w:rsidP="00CD677D">
      <w:pPr>
        <w:jc w:val="center"/>
        <w:rPr>
          <w:b/>
          <w:bCs/>
          <w:sz w:val="28"/>
          <w:szCs w:val="28"/>
          <w:lang w:val="uk-UA"/>
        </w:rPr>
      </w:pPr>
      <w:r w:rsidRPr="00CD677D">
        <w:rPr>
          <w:b/>
          <w:bCs/>
          <w:sz w:val="28"/>
          <w:szCs w:val="28"/>
        </w:rPr>
        <w:t xml:space="preserve"> </w:t>
      </w:r>
      <w:r w:rsidRPr="00CD677D">
        <w:rPr>
          <w:b/>
          <w:bCs/>
          <w:sz w:val="28"/>
          <w:szCs w:val="28"/>
          <w:lang w:val="uk-UA"/>
        </w:rPr>
        <w:t>бюджету  Ананьївської міської територіальної громади</w:t>
      </w:r>
    </w:p>
    <w:p w:rsidR="00CD677D" w:rsidRPr="00CD677D" w:rsidRDefault="00CD677D" w:rsidP="00CD677D">
      <w:pPr>
        <w:jc w:val="center"/>
        <w:rPr>
          <w:b/>
          <w:bCs/>
          <w:sz w:val="28"/>
          <w:szCs w:val="28"/>
        </w:rPr>
      </w:pPr>
      <w:r w:rsidRPr="00CD677D">
        <w:rPr>
          <w:b/>
          <w:bCs/>
          <w:sz w:val="28"/>
          <w:szCs w:val="28"/>
          <w:lang w:val="uk-UA"/>
        </w:rPr>
        <w:t xml:space="preserve"> в розрізі податків</w:t>
      </w:r>
      <w:r w:rsidRPr="00CD677D">
        <w:rPr>
          <w:b/>
          <w:bCs/>
          <w:sz w:val="28"/>
          <w:szCs w:val="28"/>
        </w:rPr>
        <w:t xml:space="preserve"> </w:t>
      </w:r>
    </w:p>
    <w:p w:rsidR="00CD677D" w:rsidRPr="00CD677D" w:rsidRDefault="00CD677D" w:rsidP="00CD677D">
      <w:pPr>
        <w:jc w:val="center"/>
        <w:rPr>
          <w:b/>
          <w:bCs/>
          <w:sz w:val="28"/>
          <w:szCs w:val="28"/>
          <w:lang w:val="uk-UA"/>
        </w:rPr>
      </w:pPr>
      <w:r w:rsidRPr="00CD677D">
        <w:rPr>
          <w:b/>
          <w:bCs/>
          <w:sz w:val="28"/>
          <w:szCs w:val="28"/>
          <w:lang w:val="uk-UA"/>
        </w:rPr>
        <w:t>за І</w:t>
      </w:r>
      <w:r w:rsidRPr="00CD677D">
        <w:rPr>
          <w:b/>
          <w:bCs/>
          <w:sz w:val="28"/>
          <w:szCs w:val="28"/>
          <w:lang w:val="en-US"/>
        </w:rPr>
        <w:t>V</w:t>
      </w:r>
      <w:r w:rsidRPr="00CD677D">
        <w:rPr>
          <w:b/>
          <w:bCs/>
          <w:sz w:val="28"/>
          <w:szCs w:val="28"/>
          <w:lang w:val="uk-UA"/>
        </w:rPr>
        <w:t xml:space="preserve"> квартал 2021 року</w:t>
      </w:r>
    </w:p>
    <w:p w:rsidR="00CD677D" w:rsidRPr="00CD677D" w:rsidRDefault="00CD677D" w:rsidP="00CD677D">
      <w:pPr>
        <w:jc w:val="center"/>
        <w:rPr>
          <w:sz w:val="28"/>
          <w:szCs w:val="28"/>
          <w:lang w:val="uk-UA"/>
        </w:rPr>
      </w:pPr>
      <w:r w:rsidRPr="00CD677D">
        <w:rPr>
          <w:noProof/>
          <w:sz w:val="20"/>
          <w:szCs w:val="20"/>
        </w:rPr>
        <w:drawing>
          <wp:inline distT="0" distB="0" distL="0" distR="0" wp14:anchorId="3680FC83" wp14:editId="0D640230">
            <wp:extent cx="5660390" cy="2651760"/>
            <wp:effectExtent l="0" t="0" r="0" b="0"/>
            <wp:docPr id="5"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677D" w:rsidRPr="00CD677D" w:rsidRDefault="00CD677D" w:rsidP="00CD677D">
      <w:pPr>
        <w:shd w:val="clear" w:color="auto" w:fill="FFFFFF"/>
        <w:tabs>
          <w:tab w:val="left" w:pos="5380"/>
        </w:tabs>
        <w:jc w:val="both"/>
        <w:rPr>
          <w:sz w:val="28"/>
          <w:szCs w:val="28"/>
          <w:lang w:val="uk-UA"/>
        </w:rPr>
      </w:pPr>
      <w:r w:rsidRPr="00CD677D">
        <w:rPr>
          <w:sz w:val="28"/>
          <w:szCs w:val="28"/>
          <w:lang w:val="uk-UA"/>
        </w:rPr>
        <w:t xml:space="preserve">          Із тринадцяти джерел доходів загального фонду власних надходжень виконання є по дванадцяти, а саме: </w:t>
      </w:r>
    </w:p>
    <w:p w:rsidR="00CD677D" w:rsidRPr="00CD677D" w:rsidRDefault="00CD677D" w:rsidP="00CD677D">
      <w:pPr>
        <w:shd w:val="clear" w:color="auto" w:fill="FFFFFF"/>
        <w:tabs>
          <w:tab w:val="left" w:pos="5380"/>
        </w:tabs>
        <w:jc w:val="both"/>
        <w:rPr>
          <w:sz w:val="28"/>
          <w:szCs w:val="28"/>
          <w:lang w:val="uk-UA"/>
        </w:rPr>
      </w:pPr>
      <w:r w:rsidRPr="00CD677D">
        <w:rPr>
          <w:sz w:val="28"/>
          <w:szCs w:val="28"/>
          <w:lang w:val="uk-UA"/>
        </w:rPr>
        <w:t xml:space="preserve">      - Податок на доходи фізичних осіб (ПДФО) – виконання планових призначень з урахуванням внесених змін забезпечено на 103,6%, при плані 52564,5 тис. грн. факт 54460,4 тис. грн., або додатково до плану отримано  1895,9 тис.</w:t>
      </w:r>
      <w:r>
        <w:rPr>
          <w:sz w:val="28"/>
          <w:szCs w:val="28"/>
          <w:lang w:val="uk-UA"/>
        </w:rPr>
        <w:t xml:space="preserve"> </w:t>
      </w:r>
      <w:r w:rsidRPr="00CD677D">
        <w:rPr>
          <w:sz w:val="28"/>
          <w:szCs w:val="28"/>
          <w:lang w:val="uk-UA"/>
        </w:rPr>
        <w:t>грн. Темп росту до відп</w:t>
      </w:r>
      <w:r w:rsidR="000D37B6">
        <w:rPr>
          <w:sz w:val="28"/>
          <w:szCs w:val="28"/>
          <w:lang w:val="uk-UA"/>
        </w:rPr>
        <w:t xml:space="preserve">овідного періоду минулого року </w:t>
      </w:r>
      <w:r w:rsidRPr="00CD677D">
        <w:rPr>
          <w:sz w:val="28"/>
          <w:szCs w:val="28"/>
          <w:lang w:val="uk-UA"/>
        </w:rPr>
        <w:t>117,2%, або на 8007,5 тис.</w:t>
      </w:r>
      <w:r>
        <w:rPr>
          <w:sz w:val="28"/>
          <w:szCs w:val="28"/>
          <w:lang w:val="uk-UA"/>
        </w:rPr>
        <w:t xml:space="preserve"> грн.</w:t>
      </w:r>
      <w:r w:rsidRPr="00CD677D">
        <w:rPr>
          <w:sz w:val="28"/>
          <w:szCs w:val="28"/>
          <w:lang w:val="uk-UA"/>
        </w:rPr>
        <w:t xml:space="preserve"> більше; </w:t>
      </w:r>
      <w:r w:rsidRPr="00CD677D">
        <w:rPr>
          <w:lang w:val="uk-UA"/>
        </w:rPr>
        <w:t>(</w:t>
      </w:r>
      <w:proofErr w:type="spellStart"/>
      <w:r w:rsidRPr="00CD677D">
        <w:rPr>
          <w:lang w:val="uk-UA"/>
        </w:rPr>
        <w:t>Довідково</w:t>
      </w:r>
      <w:proofErr w:type="spellEnd"/>
      <w:r w:rsidRPr="00CD677D">
        <w:rPr>
          <w:lang w:val="uk-UA"/>
        </w:rPr>
        <w:t>: позитивно вплинуло зростання середньої заробітної плати від сільського господарства, приватних підприємців в сфері торгівлі, легалізація заробітної плати, але є негативний фактор який вплинув на показник в бюджетній сфері - ПДФО з грошового забезпечення військовослужбовців (код доходів 110102) за рахунок переходу на сплату ПДФО за юридичною адресою з березня місяця - не надходило ПДФО  до бюджету громади від ГУНП в Одеській області. З початку року за 2 місяця надійшло 139,0 тис.</w:t>
      </w:r>
      <w:r>
        <w:rPr>
          <w:lang w:val="uk-UA"/>
        </w:rPr>
        <w:t xml:space="preserve"> </w:t>
      </w:r>
      <w:r w:rsidRPr="00CD677D">
        <w:rPr>
          <w:lang w:val="uk-UA"/>
        </w:rPr>
        <w:t>грн. За 12 місяців 2020 року надходження склали 1058,3 тис.</w:t>
      </w:r>
      <w:r>
        <w:rPr>
          <w:lang w:val="uk-UA"/>
        </w:rPr>
        <w:t xml:space="preserve"> </w:t>
      </w:r>
      <w:r w:rsidRPr="00CD677D">
        <w:rPr>
          <w:lang w:val="uk-UA"/>
        </w:rPr>
        <w:t>грн. Втрати по року склали 920,0 тис.</w:t>
      </w:r>
      <w:r>
        <w:rPr>
          <w:lang w:val="uk-UA"/>
        </w:rPr>
        <w:t xml:space="preserve"> </w:t>
      </w:r>
      <w:r w:rsidRPr="00CD677D">
        <w:rPr>
          <w:lang w:val="uk-UA"/>
        </w:rPr>
        <w:t>грн.);</w:t>
      </w:r>
    </w:p>
    <w:p w:rsidR="00CD677D" w:rsidRDefault="00CD677D" w:rsidP="00CD677D">
      <w:pPr>
        <w:tabs>
          <w:tab w:val="left" w:pos="5380"/>
        </w:tabs>
        <w:jc w:val="both"/>
        <w:rPr>
          <w:b/>
          <w:bCs/>
          <w:lang w:val="uk-UA"/>
        </w:rPr>
      </w:pPr>
    </w:p>
    <w:p w:rsidR="00CD677D" w:rsidRDefault="00CD677D" w:rsidP="00CD677D">
      <w:pPr>
        <w:tabs>
          <w:tab w:val="left" w:pos="5380"/>
        </w:tabs>
        <w:jc w:val="both"/>
        <w:rPr>
          <w:b/>
          <w:bCs/>
          <w:lang w:val="uk-UA"/>
        </w:rPr>
      </w:pPr>
    </w:p>
    <w:p w:rsidR="00CD677D" w:rsidRDefault="00CD677D" w:rsidP="00CD677D">
      <w:pPr>
        <w:tabs>
          <w:tab w:val="left" w:pos="5380"/>
        </w:tabs>
        <w:jc w:val="both"/>
        <w:rPr>
          <w:b/>
          <w:bCs/>
          <w:lang w:val="uk-UA"/>
        </w:rPr>
      </w:pPr>
    </w:p>
    <w:p w:rsidR="00CD677D" w:rsidRDefault="00CD677D" w:rsidP="00CD677D">
      <w:pPr>
        <w:tabs>
          <w:tab w:val="left" w:pos="5380"/>
        </w:tabs>
        <w:jc w:val="both"/>
        <w:rPr>
          <w:b/>
          <w:bCs/>
          <w:lang w:val="uk-UA"/>
        </w:rPr>
      </w:pPr>
    </w:p>
    <w:p w:rsidR="00CD677D" w:rsidRDefault="00CD677D" w:rsidP="00CD677D">
      <w:pPr>
        <w:tabs>
          <w:tab w:val="left" w:pos="5380"/>
        </w:tabs>
        <w:jc w:val="both"/>
        <w:rPr>
          <w:b/>
          <w:bCs/>
          <w:lang w:val="uk-UA"/>
        </w:rPr>
      </w:pPr>
    </w:p>
    <w:p w:rsidR="00CD677D" w:rsidRDefault="00CD677D" w:rsidP="00CD677D">
      <w:pPr>
        <w:tabs>
          <w:tab w:val="left" w:pos="5380"/>
        </w:tabs>
        <w:jc w:val="both"/>
        <w:rPr>
          <w:b/>
          <w:bCs/>
          <w:lang w:val="uk-UA"/>
        </w:rPr>
      </w:pPr>
    </w:p>
    <w:p w:rsidR="00CD677D" w:rsidRDefault="00CD677D" w:rsidP="00CD677D">
      <w:pPr>
        <w:tabs>
          <w:tab w:val="left" w:pos="5380"/>
        </w:tabs>
        <w:jc w:val="both"/>
        <w:rPr>
          <w:b/>
          <w:bCs/>
          <w:lang w:val="uk-UA"/>
        </w:rPr>
      </w:pPr>
    </w:p>
    <w:p w:rsidR="00CD677D" w:rsidRDefault="00CD677D" w:rsidP="00CD677D">
      <w:pPr>
        <w:tabs>
          <w:tab w:val="left" w:pos="5380"/>
        </w:tabs>
        <w:jc w:val="both"/>
        <w:rPr>
          <w:b/>
          <w:bCs/>
          <w:lang w:val="uk-UA"/>
        </w:rPr>
      </w:pPr>
    </w:p>
    <w:p w:rsidR="00CD677D" w:rsidRDefault="00CD677D" w:rsidP="00CD677D">
      <w:pPr>
        <w:tabs>
          <w:tab w:val="left" w:pos="5380"/>
        </w:tabs>
        <w:jc w:val="both"/>
        <w:rPr>
          <w:b/>
          <w:bCs/>
          <w:lang w:val="uk-UA"/>
        </w:rPr>
      </w:pPr>
    </w:p>
    <w:p w:rsidR="00CD677D" w:rsidRDefault="00CD677D" w:rsidP="00CD677D">
      <w:pPr>
        <w:tabs>
          <w:tab w:val="left" w:pos="5380"/>
        </w:tabs>
        <w:jc w:val="both"/>
        <w:rPr>
          <w:b/>
          <w:bCs/>
          <w:lang w:val="uk-UA"/>
        </w:rPr>
      </w:pPr>
    </w:p>
    <w:p w:rsidR="00CD677D" w:rsidRDefault="00CD677D" w:rsidP="00CD677D">
      <w:pPr>
        <w:tabs>
          <w:tab w:val="left" w:pos="5380"/>
        </w:tabs>
        <w:jc w:val="both"/>
        <w:rPr>
          <w:b/>
          <w:bCs/>
          <w:lang w:val="uk-UA"/>
        </w:rPr>
      </w:pPr>
    </w:p>
    <w:p w:rsidR="00CD677D" w:rsidRDefault="00CD677D" w:rsidP="00CD677D">
      <w:pPr>
        <w:tabs>
          <w:tab w:val="left" w:pos="5380"/>
        </w:tabs>
        <w:jc w:val="both"/>
        <w:rPr>
          <w:b/>
          <w:bCs/>
          <w:lang w:val="uk-UA"/>
        </w:rPr>
      </w:pPr>
    </w:p>
    <w:p w:rsidR="00CD677D" w:rsidRDefault="00CD677D" w:rsidP="00CD677D">
      <w:pPr>
        <w:tabs>
          <w:tab w:val="left" w:pos="5380"/>
        </w:tabs>
        <w:jc w:val="both"/>
        <w:rPr>
          <w:b/>
          <w:bCs/>
          <w:lang w:val="uk-UA"/>
        </w:rPr>
      </w:pPr>
    </w:p>
    <w:p w:rsidR="00CD677D" w:rsidRDefault="00CD677D" w:rsidP="00CD677D">
      <w:pPr>
        <w:tabs>
          <w:tab w:val="left" w:pos="5380"/>
        </w:tabs>
        <w:jc w:val="both"/>
        <w:rPr>
          <w:b/>
          <w:bCs/>
          <w:lang w:val="uk-UA"/>
        </w:rPr>
      </w:pPr>
    </w:p>
    <w:p w:rsidR="00CD677D" w:rsidRDefault="00CD677D" w:rsidP="00CD677D">
      <w:pPr>
        <w:tabs>
          <w:tab w:val="left" w:pos="5380"/>
        </w:tabs>
        <w:jc w:val="both"/>
        <w:rPr>
          <w:b/>
          <w:bCs/>
          <w:lang w:val="uk-UA"/>
        </w:rPr>
      </w:pPr>
    </w:p>
    <w:p w:rsidR="00CD677D" w:rsidRDefault="00CD677D" w:rsidP="00CD677D">
      <w:pPr>
        <w:tabs>
          <w:tab w:val="left" w:pos="5380"/>
        </w:tabs>
        <w:jc w:val="both"/>
        <w:rPr>
          <w:b/>
          <w:bCs/>
          <w:lang w:val="uk-UA"/>
        </w:rPr>
      </w:pPr>
    </w:p>
    <w:p w:rsidR="00CB5A83" w:rsidRDefault="00CB5A83" w:rsidP="00CD677D">
      <w:pPr>
        <w:tabs>
          <w:tab w:val="left" w:pos="5380"/>
        </w:tabs>
        <w:jc w:val="both"/>
        <w:rPr>
          <w:b/>
          <w:bCs/>
          <w:lang w:val="uk-UA"/>
        </w:rPr>
      </w:pPr>
    </w:p>
    <w:p w:rsidR="00CB5A83" w:rsidRPr="00CD677D" w:rsidRDefault="00CB5A83" w:rsidP="00CD677D">
      <w:pPr>
        <w:tabs>
          <w:tab w:val="left" w:pos="5380"/>
        </w:tabs>
        <w:jc w:val="both"/>
        <w:rPr>
          <w:b/>
          <w:bCs/>
          <w:lang w:val="uk-UA"/>
        </w:rPr>
      </w:pPr>
    </w:p>
    <w:p w:rsidR="00CD677D" w:rsidRPr="00CD677D" w:rsidRDefault="00CD677D" w:rsidP="00CD677D">
      <w:pPr>
        <w:jc w:val="center"/>
        <w:rPr>
          <w:b/>
          <w:bCs/>
          <w:sz w:val="28"/>
          <w:szCs w:val="28"/>
          <w:lang w:val="uk-UA"/>
        </w:rPr>
      </w:pPr>
      <w:r w:rsidRPr="00CD677D">
        <w:rPr>
          <w:b/>
          <w:bCs/>
          <w:sz w:val="28"/>
          <w:szCs w:val="28"/>
          <w:lang w:val="uk-UA"/>
        </w:rPr>
        <w:lastRenderedPageBreak/>
        <w:t xml:space="preserve">Структура надходжень </w:t>
      </w:r>
    </w:p>
    <w:p w:rsidR="00CD677D" w:rsidRPr="00CD677D" w:rsidRDefault="00CD677D" w:rsidP="00CD677D">
      <w:pPr>
        <w:jc w:val="center"/>
        <w:rPr>
          <w:b/>
          <w:bCs/>
          <w:sz w:val="28"/>
          <w:szCs w:val="28"/>
          <w:lang w:val="uk-UA"/>
        </w:rPr>
      </w:pPr>
      <w:r w:rsidRPr="00CD677D">
        <w:rPr>
          <w:b/>
          <w:bCs/>
          <w:sz w:val="28"/>
          <w:szCs w:val="28"/>
          <w:lang w:val="uk-UA"/>
        </w:rPr>
        <w:t xml:space="preserve">Податку на доходи фізичних осіб </w:t>
      </w:r>
    </w:p>
    <w:p w:rsidR="00CD677D" w:rsidRPr="00CD677D" w:rsidRDefault="00CD677D" w:rsidP="00CD677D">
      <w:pPr>
        <w:jc w:val="center"/>
        <w:rPr>
          <w:b/>
          <w:bCs/>
          <w:sz w:val="28"/>
          <w:szCs w:val="28"/>
          <w:lang w:val="uk-UA"/>
        </w:rPr>
      </w:pPr>
      <w:r w:rsidRPr="00CD677D">
        <w:rPr>
          <w:b/>
          <w:bCs/>
          <w:sz w:val="28"/>
          <w:szCs w:val="28"/>
          <w:lang w:val="uk-UA"/>
        </w:rPr>
        <w:t xml:space="preserve">в розрізі галузей </w:t>
      </w:r>
    </w:p>
    <w:p w:rsidR="00CD677D" w:rsidRPr="00CD677D" w:rsidRDefault="00CD677D" w:rsidP="00CD677D">
      <w:pPr>
        <w:jc w:val="center"/>
        <w:rPr>
          <w:b/>
          <w:bCs/>
          <w:sz w:val="28"/>
          <w:szCs w:val="28"/>
          <w:lang w:val="uk-UA"/>
        </w:rPr>
      </w:pPr>
      <w:r w:rsidRPr="00CD677D">
        <w:rPr>
          <w:b/>
          <w:bCs/>
          <w:sz w:val="28"/>
          <w:szCs w:val="28"/>
          <w:lang w:val="uk-UA"/>
        </w:rPr>
        <w:t>за І</w:t>
      </w:r>
      <w:r w:rsidRPr="00CD677D">
        <w:rPr>
          <w:b/>
          <w:bCs/>
          <w:sz w:val="28"/>
          <w:szCs w:val="28"/>
          <w:lang w:val="en-US"/>
        </w:rPr>
        <w:t>V</w:t>
      </w:r>
      <w:r w:rsidRPr="00CD677D">
        <w:rPr>
          <w:b/>
          <w:bCs/>
          <w:sz w:val="28"/>
          <w:szCs w:val="28"/>
          <w:lang w:val="uk-UA"/>
        </w:rPr>
        <w:t xml:space="preserve"> квартал 2021 року</w:t>
      </w:r>
    </w:p>
    <w:p w:rsidR="00CD677D" w:rsidRPr="00CD677D" w:rsidRDefault="00CD677D" w:rsidP="00CD677D">
      <w:pPr>
        <w:jc w:val="center"/>
        <w:rPr>
          <w:b/>
          <w:bCs/>
          <w:lang w:val="uk-UA"/>
        </w:rPr>
      </w:pPr>
    </w:p>
    <w:p w:rsidR="00CD677D" w:rsidRPr="00CD677D" w:rsidRDefault="00CD677D" w:rsidP="00CD677D">
      <w:pPr>
        <w:jc w:val="center"/>
        <w:rPr>
          <w:b/>
          <w:bCs/>
          <w:lang w:val="uk-UA"/>
        </w:rPr>
      </w:pPr>
      <w:r w:rsidRPr="00CD677D">
        <w:rPr>
          <w:noProof/>
          <w:sz w:val="20"/>
          <w:szCs w:val="20"/>
        </w:rPr>
        <w:drawing>
          <wp:inline distT="0" distB="0" distL="0" distR="0" wp14:anchorId="50B4A1AF" wp14:editId="3CABA3E5">
            <wp:extent cx="5723890" cy="3026410"/>
            <wp:effectExtent l="0" t="0" r="0" b="0"/>
            <wp:docPr id="6"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677D" w:rsidRPr="00CD677D" w:rsidRDefault="00CD677D" w:rsidP="00CD677D">
      <w:pPr>
        <w:jc w:val="center"/>
        <w:rPr>
          <w:b/>
          <w:sz w:val="28"/>
          <w:szCs w:val="28"/>
          <w:lang w:val="uk-UA"/>
        </w:rPr>
      </w:pPr>
      <w:r w:rsidRPr="00CD677D">
        <w:rPr>
          <w:b/>
          <w:sz w:val="28"/>
          <w:szCs w:val="28"/>
          <w:lang w:val="uk-UA"/>
        </w:rPr>
        <w:t>Надходження ПДФО від заробітної плати в розрізі категорій:</w:t>
      </w:r>
    </w:p>
    <w:p w:rsidR="00CD677D" w:rsidRPr="00CD677D" w:rsidRDefault="00CD677D" w:rsidP="00CD677D">
      <w:pPr>
        <w:jc w:val="center"/>
        <w:rPr>
          <w:sz w:val="28"/>
          <w:szCs w:val="28"/>
          <w:lang w:val="uk-UA"/>
        </w:rPr>
      </w:pPr>
    </w:p>
    <w:tbl>
      <w:tblPr>
        <w:tblW w:w="9892" w:type="dxa"/>
        <w:tblInd w:w="93" w:type="dxa"/>
        <w:tblLook w:val="04A0" w:firstRow="1" w:lastRow="0" w:firstColumn="1" w:lastColumn="0" w:noHBand="0" w:noVBand="1"/>
      </w:tblPr>
      <w:tblGrid>
        <w:gridCol w:w="3652"/>
        <w:gridCol w:w="1740"/>
        <w:gridCol w:w="1711"/>
        <w:gridCol w:w="1559"/>
        <w:gridCol w:w="1230"/>
      </w:tblGrid>
      <w:tr w:rsidR="00CD677D" w:rsidRPr="00CD677D" w:rsidTr="00CD677D">
        <w:trPr>
          <w:trHeight w:val="300"/>
        </w:trPr>
        <w:tc>
          <w:tcPr>
            <w:tcW w:w="3652" w:type="dxa"/>
            <w:noWrap/>
            <w:vAlign w:val="bottom"/>
            <w:hideMark/>
          </w:tcPr>
          <w:p w:rsidR="00CD677D" w:rsidRPr="00CD677D" w:rsidRDefault="00CD677D" w:rsidP="00CD677D">
            <w:pPr>
              <w:rPr>
                <w:sz w:val="20"/>
                <w:szCs w:val="20"/>
              </w:rPr>
            </w:pPr>
          </w:p>
        </w:tc>
        <w:tc>
          <w:tcPr>
            <w:tcW w:w="1740" w:type="dxa"/>
            <w:noWrap/>
            <w:vAlign w:val="bottom"/>
            <w:hideMark/>
          </w:tcPr>
          <w:p w:rsidR="00CD677D" w:rsidRPr="00CD677D" w:rsidRDefault="00CD677D" w:rsidP="00CD677D">
            <w:pPr>
              <w:jc w:val="right"/>
              <w:rPr>
                <w:rFonts w:ascii="Calibri" w:hAnsi="Calibri" w:cs="Calibri"/>
                <w:color w:val="000000"/>
                <w:sz w:val="22"/>
                <w:szCs w:val="22"/>
                <w:lang w:val="uk-UA" w:eastAsia="uk-UA"/>
              </w:rPr>
            </w:pPr>
            <w:r w:rsidRPr="00CD677D">
              <w:rPr>
                <w:rFonts w:ascii="Calibri" w:hAnsi="Calibri" w:cs="Calibri"/>
                <w:color w:val="000000"/>
                <w:sz w:val="22"/>
                <w:szCs w:val="22"/>
                <w:lang w:val="uk-UA" w:eastAsia="uk-UA"/>
              </w:rPr>
              <w:t>60%</w:t>
            </w:r>
          </w:p>
        </w:tc>
        <w:tc>
          <w:tcPr>
            <w:tcW w:w="1711" w:type="dxa"/>
            <w:noWrap/>
            <w:vAlign w:val="bottom"/>
            <w:hideMark/>
          </w:tcPr>
          <w:p w:rsidR="00CD677D" w:rsidRPr="00CD677D" w:rsidRDefault="00CD677D" w:rsidP="00CD677D">
            <w:pPr>
              <w:jc w:val="right"/>
              <w:rPr>
                <w:rFonts w:ascii="Calibri" w:hAnsi="Calibri" w:cs="Calibri"/>
                <w:color w:val="000000"/>
                <w:sz w:val="22"/>
                <w:szCs w:val="22"/>
                <w:lang w:val="uk-UA" w:eastAsia="uk-UA"/>
              </w:rPr>
            </w:pPr>
            <w:r w:rsidRPr="00CD677D">
              <w:rPr>
                <w:rFonts w:ascii="Calibri" w:hAnsi="Calibri" w:cs="Calibri"/>
                <w:color w:val="000000"/>
                <w:sz w:val="22"/>
                <w:szCs w:val="22"/>
                <w:lang w:val="uk-UA" w:eastAsia="uk-UA"/>
              </w:rPr>
              <w:t>60%</w:t>
            </w:r>
          </w:p>
        </w:tc>
        <w:tc>
          <w:tcPr>
            <w:tcW w:w="1559" w:type="dxa"/>
            <w:noWrap/>
            <w:vAlign w:val="bottom"/>
            <w:hideMark/>
          </w:tcPr>
          <w:p w:rsidR="00CD677D" w:rsidRPr="00CD677D" w:rsidRDefault="00CD677D" w:rsidP="00CD677D">
            <w:pPr>
              <w:rPr>
                <w:sz w:val="20"/>
                <w:szCs w:val="20"/>
              </w:rPr>
            </w:pPr>
          </w:p>
        </w:tc>
        <w:tc>
          <w:tcPr>
            <w:tcW w:w="1230" w:type="dxa"/>
            <w:noWrap/>
            <w:vAlign w:val="bottom"/>
            <w:hideMark/>
          </w:tcPr>
          <w:p w:rsidR="00CD677D" w:rsidRPr="00CD677D" w:rsidRDefault="00CD677D" w:rsidP="00CD677D">
            <w:pPr>
              <w:rPr>
                <w:sz w:val="20"/>
                <w:szCs w:val="20"/>
              </w:rPr>
            </w:pPr>
          </w:p>
        </w:tc>
      </w:tr>
      <w:tr w:rsidR="00CD677D" w:rsidRPr="00CD677D" w:rsidTr="00CD677D">
        <w:trPr>
          <w:trHeight w:val="555"/>
        </w:trPr>
        <w:tc>
          <w:tcPr>
            <w:tcW w:w="3652" w:type="dxa"/>
            <w:tcBorders>
              <w:top w:val="single" w:sz="4" w:space="0" w:color="auto"/>
              <w:left w:val="single" w:sz="4" w:space="0" w:color="auto"/>
              <w:bottom w:val="single" w:sz="4" w:space="0" w:color="auto"/>
              <w:right w:val="single" w:sz="4" w:space="0" w:color="auto"/>
            </w:tcBorders>
            <w:noWrap/>
            <w:vAlign w:val="bottom"/>
            <w:hideMark/>
          </w:tcPr>
          <w:p w:rsidR="00CD677D" w:rsidRPr="00CD677D" w:rsidRDefault="00CD677D" w:rsidP="00CD677D">
            <w:pPr>
              <w:suppressAutoHyphens/>
              <w:rPr>
                <w:color w:val="000000"/>
                <w:sz w:val="20"/>
                <w:szCs w:val="20"/>
                <w:lang w:eastAsia="ar-SA"/>
              </w:rPr>
            </w:pPr>
            <w:r w:rsidRPr="00CD677D">
              <w:rPr>
                <w:color w:val="000000"/>
                <w:sz w:val="20"/>
                <w:szCs w:val="20"/>
              </w:rPr>
              <w:t>по категорії_коди-11010100+11010200</w:t>
            </w:r>
          </w:p>
        </w:tc>
        <w:tc>
          <w:tcPr>
            <w:tcW w:w="1740" w:type="dxa"/>
            <w:tcBorders>
              <w:top w:val="single" w:sz="4" w:space="0" w:color="auto"/>
              <w:left w:val="nil"/>
              <w:bottom w:val="single" w:sz="4" w:space="0" w:color="auto"/>
              <w:right w:val="single" w:sz="4" w:space="0" w:color="auto"/>
            </w:tcBorders>
            <w:shd w:val="clear" w:color="auto" w:fill="CCFFFF"/>
            <w:vAlign w:val="center"/>
            <w:hideMark/>
          </w:tcPr>
          <w:p w:rsidR="00CD677D" w:rsidRPr="00CD677D" w:rsidRDefault="00CD677D" w:rsidP="00CD677D">
            <w:pPr>
              <w:jc w:val="center"/>
              <w:rPr>
                <w:b/>
                <w:bCs/>
                <w:color w:val="000000"/>
                <w:sz w:val="20"/>
                <w:szCs w:val="20"/>
              </w:rPr>
            </w:pPr>
            <w:r w:rsidRPr="00CD677D">
              <w:rPr>
                <w:b/>
                <w:bCs/>
                <w:color w:val="000000"/>
                <w:sz w:val="20"/>
                <w:szCs w:val="20"/>
              </w:rPr>
              <w:t>ФАКТ</w:t>
            </w:r>
            <w:proofErr w:type="gramStart"/>
            <w:r w:rsidRPr="00CD677D">
              <w:rPr>
                <w:b/>
                <w:bCs/>
                <w:color w:val="000000"/>
                <w:sz w:val="20"/>
                <w:szCs w:val="20"/>
              </w:rPr>
              <w:t xml:space="preserve"> З</w:t>
            </w:r>
            <w:proofErr w:type="gramEnd"/>
            <w:r w:rsidRPr="00CD677D">
              <w:rPr>
                <w:b/>
                <w:bCs/>
                <w:color w:val="000000"/>
                <w:sz w:val="20"/>
                <w:szCs w:val="20"/>
              </w:rPr>
              <w:t xml:space="preserve">а 12 </w:t>
            </w:r>
            <w:proofErr w:type="spellStart"/>
            <w:r w:rsidRPr="00CD677D">
              <w:rPr>
                <w:b/>
                <w:bCs/>
                <w:color w:val="000000"/>
                <w:sz w:val="20"/>
                <w:szCs w:val="20"/>
              </w:rPr>
              <w:t>місяців</w:t>
            </w:r>
            <w:proofErr w:type="spellEnd"/>
            <w:r w:rsidRPr="00CD677D">
              <w:rPr>
                <w:b/>
                <w:bCs/>
                <w:color w:val="000000"/>
                <w:sz w:val="20"/>
                <w:szCs w:val="20"/>
              </w:rPr>
              <w:t xml:space="preserve">  2021 року</w:t>
            </w:r>
          </w:p>
        </w:tc>
        <w:tc>
          <w:tcPr>
            <w:tcW w:w="1711" w:type="dxa"/>
            <w:tcBorders>
              <w:top w:val="single" w:sz="4" w:space="0" w:color="auto"/>
              <w:left w:val="nil"/>
              <w:bottom w:val="single" w:sz="4" w:space="0" w:color="auto"/>
              <w:right w:val="single" w:sz="4" w:space="0" w:color="auto"/>
            </w:tcBorders>
            <w:shd w:val="clear" w:color="auto" w:fill="CCFFFF"/>
            <w:vAlign w:val="center"/>
            <w:hideMark/>
          </w:tcPr>
          <w:p w:rsidR="00CD677D" w:rsidRPr="00CD677D" w:rsidRDefault="00CD677D" w:rsidP="00CD677D">
            <w:pPr>
              <w:jc w:val="center"/>
              <w:rPr>
                <w:b/>
                <w:bCs/>
                <w:color w:val="000000"/>
                <w:sz w:val="20"/>
                <w:szCs w:val="20"/>
              </w:rPr>
            </w:pPr>
            <w:r w:rsidRPr="00CD677D">
              <w:rPr>
                <w:b/>
                <w:bCs/>
                <w:color w:val="000000"/>
                <w:sz w:val="20"/>
                <w:szCs w:val="20"/>
              </w:rPr>
              <w:t>ФАКТ</w:t>
            </w:r>
            <w:proofErr w:type="gramStart"/>
            <w:r w:rsidRPr="00CD677D">
              <w:rPr>
                <w:b/>
                <w:bCs/>
                <w:color w:val="000000"/>
                <w:sz w:val="20"/>
                <w:szCs w:val="20"/>
              </w:rPr>
              <w:t xml:space="preserve"> З</w:t>
            </w:r>
            <w:proofErr w:type="gramEnd"/>
            <w:r w:rsidRPr="00CD677D">
              <w:rPr>
                <w:b/>
                <w:bCs/>
                <w:color w:val="000000"/>
                <w:sz w:val="20"/>
                <w:szCs w:val="20"/>
              </w:rPr>
              <w:t xml:space="preserve">а 12 </w:t>
            </w:r>
            <w:proofErr w:type="spellStart"/>
            <w:r w:rsidRPr="00CD677D">
              <w:rPr>
                <w:b/>
                <w:bCs/>
                <w:color w:val="000000"/>
                <w:sz w:val="20"/>
                <w:szCs w:val="20"/>
              </w:rPr>
              <w:t>місяців</w:t>
            </w:r>
            <w:proofErr w:type="spellEnd"/>
            <w:r w:rsidRPr="00CD677D">
              <w:rPr>
                <w:b/>
                <w:bCs/>
                <w:color w:val="000000"/>
                <w:sz w:val="20"/>
                <w:szCs w:val="20"/>
              </w:rPr>
              <w:t xml:space="preserve"> 2020 року</w:t>
            </w:r>
          </w:p>
        </w:tc>
        <w:tc>
          <w:tcPr>
            <w:tcW w:w="1559" w:type="dxa"/>
            <w:tcBorders>
              <w:top w:val="single" w:sz="4" w:space="0" w:color="auto"/>
              <w:left w:val="nil"/>
              <w:bottom w:val="single" w:sz="4" w:space="0" w:color="auto"/>
              <w:right w:val="single" w:sz="4" w:space="0" w:color="auto"/>
            </w:tcBorders>
            <w:shd w:val="clear" w:color="auto" w:fill="CCFFFF"/>
            <w:vAlign w:val="center"/>
            <w:hideMark/>
          </w:tcPr>
          <w:p w:rsidR="00CD677D" w:rsidRPr="00CD677D" w:rsidRDefault="00CD677D" w:rsidP="00CD677D">
            <w:pPr>
              <w:jc w:val="center"/>
              <w:rPr>
                <w:color w:val="000000"/>
                <w:sz w:val="20"/>
                <w:szCs w:val="20"/>
              </w:rPr>
            </w:pPr>
            <w:r w:rsidRPr="00CD677D">
              <w:rPr>
                <w:color w:val="000000"/>
                <w:sz w:val="20"/>
                <w:szCs w:val="20"/>
              </w:rPr>
              <w:t xml:space="preserve">(+/-) </w:t>
            </w:r>
            <w:proofErr w:type="spellStart"/>
            <w:r w:rsidRPr="00CD677D">
              <w:rPr>
                <w:color w:val="000000"/>
                <w:sz w:val="20"/>
                <w:szCs w:val="20"/>
              </w:rPr>
              <w:t>відхилення</w:t>
            </w:r>
            <w:proofErr w:type="spellEnd"/>
            <w:r w:rsidRPr="00CD677D">
              <w:rPr>
                <w:color w:val="000000"/>
                <w:sz w:val="20"/>
                <w:szCs w:val="20"/>
              </w:rPr>
              <w:t xml:space="preserve"> </w:t>
            </w:r>
            <w:proofErr w:type="gramStart"/>
            <w:r w:rsidRPr="00CD677D">
              <w:rPr>
                <w:color w:val="000000"/>
                <w:sz w:val="20"/>
                <w:szCs w:val="20"/>
              </w:rPr>
              <w:t>до</w:t>
            </w:r>
            <w:proofErr w:type="gramEnd"/>
            <w:r w:rsidRPr="00CD677D">
              <w:rPr>
                <w:color w:val="000000"/>
                <w:sz w:val="20"/>
                <w:szCs w:val="20"/>
              </w:rPr>
              <w:t xml:space="preserve"> факт </w:t>
            </w:r>
            <w:proofErr w:type="spellStart"/>
            <w:r w:rsidRPr="00CD677D">
              <w:rPr>
                <w:color w:val="000000"/>
                <w:sz w:val="20"/>
                <w:szCs w:val="20"/>
              </w:rPr>
              <w:t>минулого</w:t>
            </w:r>
            <w:proofErr w:type="spellEnd"/>
            <w:r w:rsidRPr="00CD677D">
              <w:rPr>
                <w:color w:val="000000"/>
                <w:sz w:val="20"/>
                <w:szCs w:val="20"/>
              </w:rPr>
              <w:t xml:space="preserve"> року</w:t>
            </w:r>
          </w:p>
        </w:tc>
        <w:tc>
          <w:tcPr>
            <w:tcW w:w="1230" w:type="dxa"/>
            <w:tcBorders>
              <w:top w:val="single" w:sz="4" w:space="0" w:color="auto"/>
              <w:left w:val="nil"/>
              <w:bottom w:val="single" w:sz="4" w:space="0" w:color="auto"/>
              <w:right w:val="single" w:sz="4" w:space="0" w:color="auto"/>
            </w:tcBorders>
            <w:shd w:val="clear" w:color="auto" w:fill="CCFFFF"/>
            <w:vAlign w:val="center"/>
            <w:hideMark/>
          </w:tcPr>
          <w:p w:rsidR="00CD677D" w:rsidRPr="00CD677D" w:rsidRDefault="00CD677D" w:rsidP="00CD677D">
            <w:pPr>
              <w:jc w:val="center"/>
              <w:rPr>
                <w:color w:val="000000"/>
                <w:sz w:val="20"/>
                <w:szCs w:val="20"/>
              </w:rPr>
            </w:pPr>
            <w:r w:rsidRPr="00CD677D">
              <w:rPr>
                <w:color w:val="000000"/>
                <w:sz w:val="20"/>
                <w:szCs w:val="20"/>
              </w:rPr>
              <w:t xml:space="preserve">% </w:t>
            </w:r>
            <w:proofErr w:type="spellStart"/>
            <w:r w:rsidRPr="00CD677D">
              <w:rPr>
                <w:color w:val="000000"/>
                <w:sz w:val="20"/>
                <w:szCs w:val="20"/>
              </w:rPr>
              <w:t>виконання</w:t>
            </w:r>
            <w:proofErr w:type="spellEnd"/>
            <w:r w:rsidRPr="00CD677D">
              <w:rPr>
                <w:color w:val="000000"/>
                <w:sz w:val="20"/>
                <w:szCs w:val="20"/>
              </w:rPr>
              <w:t xml:space="preserve"> </w:t>
            </w:r>
            <w:proofErr w:type="gramStart"/>
            <w:r w:rsidRPr="00CD677D">
              <w:rPr>
                <w:color w:val="000000"/>
                <w:sz w:val="20"/>
                <w:szCs w:val="20"/>
              </w:rPr>
              <w:t>до</w:t>
            </w:r>
            <w:proofErr w:type="gramEnd"/>
            <w:r w:rsidRPr="00CD677D">
              <w:rPr>
                <w:color w:val="000000"/>
                <w:sz w:val="20"/>
                <w:szCs w:val="20"/>
              </w:rPr>
              <w:t xml:space="preserve"> факт </w:t>
            </w:r>
            <w:proofErr w:type="spellStart"/>
            <w:r w:rsidRPr="00CD677D">
              <w:rPr>
                <w:color w:val="000000"/>
                <w:sz w:val="20"/>
                <w:szCs w:val="20"/>
              </w:rPr>
              <w:t>минулого</w:t>
            </w:r>
            <w:proofErr w:type="spellEnd"/>
            <w:r w:rsidRPr="00CD677D">
              <w:rPr>
                <w:color w:val="000000"/>
                <w:sz w:val="20"/>
                <w:szCs w:val="20"/>
              </w:rPr>
              <w:t xml:space="preserve"> року</w:t>
            </w:r>
          </w:p>
        </w:tc>
      </w:tr>
      <w:tr w:rsidR="00CD677D" w:rsidRPr="00CD677D" w:rsidTr="00CD677D">
        <w:trPr>
          <w:trHeight w:val="300"/>
        </w:trPr>
        <w:tc>
          <w:tcPr>
            <w:tcW w:w="3652" w:type="dxa"/>
            <w:tcBorders>
              <w:top w:val="nil"/>
              <w:left w:val="single" w:sz="4" w:space="0" w:color="auto"/>
              <w:bottom w:val="single" w:sz="4" w:space="0" w:color="auto"/>
              <w:right w:val="single" w:sz="4" w:space="0" w:color="auto"/>
            </w:tcBorders>
            <w:shd w:val="clear" w:color="auto" w:fill="FF99CC"/>
            <w:vAlign w:val="bottom"/>
            <w:hideMark/>
          </w:tcPr>
          <w:p w:rsidR="00CD677D" w:rsidRPr="00CD677D" w:rsidRDefault="00CD677D" w:rsidP="00CD677D">
            <w:pPr>
              <w:rPr>
                <w:color w:val="000000"/>
                <w:sz w:val="20"/>
                <w:szCs w:val="20"/>
                <w:lang w:val="uk-UA" w:eastAsia="uk-UA"/>
              </w:rPr>
            </w:pPr>
            <w:r w:rsidRPr="00CD677D">
              <w:rPr>
                <w:color w:val="000000"/>
                <w:sz w:val="20"/>
                <w:szCs w:val="20"/>
                <w:lang w:val="uk-UA" w:eastAsia="uk-UA"/>
              </w:rPr>
              <w:t>місцевий бюджет</w:t>
            </w:r>
          </w:p>
        </w:tc>
        <w:tc>
          <w:tcPr>
            <w:tcW w:w="1740"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15 698 897,68</w:t>
            </w:r>
          </w:p>
        </w:tc>
        <w:tc>
          <w:tcPr>
            <w:tcW w:w="1711"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13500488,01</w:t>
            </w:r>
          </w:p>
        </w:tc>
        <w:tc>
          <w:tcPr>
            <w:tcW w:w="1559"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2 198 409,67</w:t>
            </w:r>
          </w:p>
        </w:tc>
        <w:tc>
          <w:tcPr>
            <w:tcW w:w="1230"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116,28</w:t>
            </w:r>
          </w:p>
        </w:tc>
      </w:tr>
      <w:tr w:rsidR="00CD677D" w:rsidRPr="00CD677D" w:rsidTr="00CD677D">
        <w:trPr>
          <w:trHeight w:val="300"/>
        </w:trPr>
        <w:tc>
          <w:tcPr>
            <w:tcW w:w="3652" w:type="dxa"/>
            <w:tcBorders>
              <w:top w:val="nil"/>
              <w:left w:val="single" w:sz="4" w:space="0" w:color="auto"/>
              <w:bottom w:val="single" w:sz="4" w:space="0" w:color="auto"/>
              <w:right w:val="single" w:sz="4" w:space="0" w:color="auto"/>
            </w:tcBorders>
            <w:shd w:val="clear" w:color="auto" w:fill="FF99CC"/>
            <w:vAlign w:val="bottom"/>
            <w:hideMark/>
          </w:tcPr>
          <w:p w:rsidR="00CD677D" w:rsidRPr="00CD677D" w:rsidRDefault="00CD677D" w:rsidP="00CD677D">
            <w:pPr>
              <w:rPr>
                <w:color w:val="000000"/>
                <w:sz w:val="20"/>
                <w:szCs w:val="20"/>
                <w:lang w:val="uk-UA" w:eastAsia="uk-UA"/>
              </w:rPr>
            </w:pPr>
            <w:r w:rsidRPr="00CD677D">
              <w:rPr>
                <w:color w:val="000000"/>
                <w:sz w:val="20"/>
                <w:szCs w:val="20"/>
                <w:lang w:val="uk-UA" w:eastAsia="uk-UA"/>
              </w:rPr>
              <w:t>державний бюджет</w:t>
            </w:r>
          </w:p>
        </w:tc>
        <w:tc>
          <w:tcPr>
            <w:tcW w:w="1740"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13 792 218,41</w:t>
            </w:r>
          </w:p>
        </w:tc>
        <w:tc>
          <w:tcPr>
            <w:tcW w:w="1711"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14092714,95</w:t>
            </w:r>
          </w:p>
        </w:tc>
        <w:tc>
          <w:tcPr>
            <w:tcW w:w="1559"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FF0000"/>
                <w:sz w:val="22"/>
                <w:szCs w:val="22"/>
              </w:rPr>
              <w:t>-300 496,54</w:t>
            </w:r>
          </w:p>
        </w:tc>
        <w:tc>
          <w:tcPr>
            <w:tcW w:w="1230"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97,87</w:t>
            </w:r>
          </w:p>
        </w:tc>
      </w:tr>
      <w:tr w:rsidR="00CD677D" w:rsidRPr="00CD677D" w:rsidTr="00CD677D">
        <w:trPr>
          <w:trHeight w:val="461"/>
        </w:trPr>
        <w:tc>
          <w:tcPr>
            <w:tcW w:w="3652" w:type="dxa"/>
            <w:tcBorders>
              <w:top w:val="nil"/>
              <w:left w:val="single" w:sz="4" w:space="0" w:color="auto"/>
              <w:bottom w:val="single" w:sz="4" w:space="0" w:color="auto"/>
              <w:right w:val="single" w:sz="4" w:space="0" w:color="auto"/>
            </w:tcBorders>
            <w:shd w:val="clear" w:color="auto" w:fill="FF99CC"/>
            <w:vAlign w:val="bottom"/>
            <w:hideMark/>
          </w:tcPr>
          <w:p w:rsidR="00CD677D" w:rsidRPr="00CD677D" w:rsidRDefault="00CD677D" w:rsidP="00CD677D">
            <w:pPr>
              <w:rPr>
                <w:color w:val="000000"/>
                <w:sz w:val="20"/>
                <w:szCs w:val="20"/>
                <w:lang w:val="uk-UA" w:eastAsia="uk-UA"/>
              </w:rPr>
            </w:pPr>
            <w:r w:rsidRPr="00CD677D">
              <w:rPr>
                <w:color w:val="000000"/>
                <w:sz w:val="20"/>
                <w:szCs w:val="20"/>
                <w:lang w:val="uk-UA" w:eastAsia="uk-UA"/>
              </w:rPr>
              <w:t>підприємства (</w:t>
            </w:r>
            <w:proofErr w:type="spellStart"/>
            <w:r w:rsidRPr="00CD677D">
              <w:rPr>
                <w:color w:val="000000"/>
                <w:sz w:val="20"/>
                <w:szCs w:val="20"/>
                <w:lang w:val="uk-UA" w:eastAsia="uk-UA"/>
              </w:rPr>
              <w:t>небюджетні</w:t>
            </w:r>
            <w:proofErr w:type="spellEnd"/>
            <w:r w:rsidRPr="00CD677D">
              <w:rPr>
                <w:color w:val="000000"/>
                <w:sz w:val="20"/>
                <w:szCs w:val="20"/>
                <w:lang w:val="uk-UA" w:eastAsia="uk-UA"/>
              </w:rPr>
              <w:t xml:space="preserve"> установи та організації)</w:t>
            </w:r>
          </w:p>
        </w:tc>
        <w:tc>
          <w:tcPr>
            <w:tcW w:w="1740"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6 883 746,52</w:t>
            </w:r>
          </w:p>
        </w:tc>
        <w:tc>
          <w:tcPr>
            <w:tcW w:w="1711"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5923004,85</w:t>
            </w:r>
          </w:p>
        </w:tc>
        <w:tc>
          <w:tcPr>
            <w:tcW w:w="1559"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960 741,67</w:t>
            </w:r>
          </w:p>
        </w:tc>
        <w:tc>
          <w:tcPr>
            <w:tcW w:w="1230"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116,22</w:t>
            </w:r>
          </w:p>
        </w:tc>
      </w:tr>
      <w:tr w:rsidR="00CD677D" w:rsidRPr="00CD677D" w:rsidTr="00CD677D">
        <w:trPr>
          <w:trHeight w:val="284"/>
        </w:trPr>
        <w:tc>
          <w:tcPr>
            <w:tcW w:w="3652" w:type="dxa"/>
            <w:tcBorders>
              <w:top w:val="nil"/>
              <w:left w:val="single" w:sz="4" w:space="0" w:color="auto"/>
              <w:bottom w:val="single" w:sz="4" w:space="0" w:color="auto"/>
              <w:right w:val="single" w:sz="4" w:space="0" w:color="auto"/>
            </w:tcBorders>
            <w:shd w:val="clear" w:color="auto" w:fill="FF99CC"/>
            <w:vAlign w:val="bottom"/>
            <w:hideMark/>
          </w:tcPr>
          <w:p w:rsidR="00CD677D" w:rsidRPr="00CD677D" w:rsidRDefault="00CD677D" w:rsidP="00CD677D">
            <w:pPr>
              <w:rPr>
                <w:color w:val="000000"/>
                <w:sz w:val="20"/>
                <w:szCs w:val="20"/>
                <w:lang w:val="uk-UA" w:eastAsia="uk-UA"/>
              </w:rPr>
            </w:pPr>
            <w:proofErr w:type="spellStart"/>
            <w:r w:rsidRPr="00CD677D">
              <w:rPr>
                <w:color w:val="000000"/>
                <w:sz w:val="20"/>
                <w:szCs w:val="20"/>
                <w:lang w:val="uk-UA" w:eastAsia="uk-UA"/>
              </w:rPr>
              <w:t>сільгосптоваровиробники</w:t>
            </w:r>
            <w:proofErr w:type="spellEnd"/>
          </w:p>
        </w:tc>
        <w:tc>
          <w:tcPr>
            <w:tcW w:w="1740"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4 800 698,17</w:t>
            </w:r>
          </w:p>
        </w:tc>
        <w:tc>
          <w:tcPr>
            <w:tcW w:w="1711"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3390510,43</w:t>
            </w:r>
          </w:p>
        </w:tc>
        <w:tc>
          <w:tcPr>
            <w:tcW w:w="1559"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1 410 187,74</w:t>
            </w:r>
          </w:p>
        </w:tc>
        <w:tc>
          <w:tcPr>
            <w:tcW w:w="1230"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141,59</w:t>
            </w:r>
          </w:p>
        </w:tc>
      </w:tr>
      <w:tr w:rsidR="00CD677D" w:rsidRPr="00CD677D" w:rsidTr="00CD677D">
        <w:trPr>
          <w:trHeight w:val="525"/>
        </w:trPr>
        <w:tc>
          <w:tcPr>
            <w:tcW w:w="3652" w:type="dxa"/>
            <w:tcBorders>
              <w:top w:val="nil"/>
              <w:left w:val="single" w:sz="4" w:space="0" w:color="auto"/>
              <w:bottom w:val="single" w:sz="4" w:space="0" w:color="auto"/>
              <w:right w:val="single" w:sz="4" w:space="0" w:color="auto"/>
            </w:tcBorders>
            <w:shd w:val="clear" w:color="auto" w:fill="FF99CC"/>
            <w:vAlign w:val="bottom"/>
            <w:hideMark/>
          </w:tcPr>
          <w:p w:rsidR="00CD677D" w:rsidRPr="00CD677D" w:rsidRDefault="00CD677D" w:rsidP="00CD677D">
            <w:pPr>
              <w:rPr>
                <w:color w:val="000000"/>
                <w:sz w:val="20"/>
                <w:szCs w:val="20"/>
                <w:lang w:val="uk-UA" w:eastAsia="uk-UA"/>
              </w:rPr>
            </w:pPr>
            <w:r w:rsidRPr="00CD677D">
              <w:rPr>
                <w:color w:val="000000"/>
                <w:sz w:val="20"/>
                <w:szCs w:val="20"/>
                <w:lang w:val="uk-UA" w:eastAsia="uk-UA"/>
              </w:rPr>
              <w:t>приватні підприємства, фізичні особи</w:t>
            </w:r>
          </w:p>
        </w:tc>
        <w:tc>
          <w:tcPr>
            <w:tcW w:w="1740"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3 765 554,45</w:t>
            </w:r>
          </w:p>
        </w:tc>
        <w:tc>
          <w:tcPr>
            <w:tcW w:w="1711"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2657949,78</w:t>
            </w:r>
          </w:p>
        </w:tc>
        <w:tc>
          <w:tcPr>
            <w:tcW w:w="1559"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1 107 604,67</w:t>
            </w:r>
          </w:p>
        </w:tc>
        <w:tc>
          <w:tcPr>
            <w:tcW w:w="1230"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141,67</w:t>
            </w:r>
          </w:p>
        </w:tc>
      </w:tr>
      <w:tr w:rsidR="00CD677D" w:rsidRPr="00CD677D" w:rsidTr="00CD677D">
        <w:trPr>
          <w:trHeight w:val="300"/>
        </w:trPr>
        <w:tc>
          <w:tcPr>
            <w:tcW w:w="3652" w:type="dxa"/>
            <w:tcBorders>
              <w:top w:val="nil"/>
              <w:left w:val="single" w:sz="4" w:space="0" w:color="auto"/>
              <w:bottom w:val="single" w:sz="4" w:space="0" w:color="auto"/>
              <w:right w:val="single" w:sz="4" w:space="0" w:color="auto"/>
            </w:tcBorders>
            <w:shd w:val="clear" w:color="auto" w:fill="FF99CC"/>
            <w:vAlign w:val="bottom"/>
            <w:hideMark/>
          </w:tcPr>
          <w:p w:rsidR="00CD677D" w:rsidRPr="00CD677D" w:rsidRDefault="00CD677D" w:rsidP="00CD677D">
            <w:pPr>
              <w:rPr>
                <w:color w:val="000000"/>
                <w:sz w:val="20"/>
                <w:szCs w:val="20"/>
                <w:lang w:val="uk-UA" w:eastAsia="uk-UA"/>
              </w:rPr>
            </w:pPr>
            <w:r w:rsidRPr="00CD677D">
              <w:rPr>
                <w:color w:val="000000"/>
                <w:sz w:val="20"/>
                <w:szCs w:val="20"/>
                <w:lang w:val="uk-UA" w:eastAsia="uk-UA"/>
              </w:rPr>
              <w:t>інші (церкви)</w:t>
            </w:r>
          </w:p>
        </w:tc>
        <w:tc>
          <w:tcPr>
            <w:tcW w:w="1740"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47 282,26</w:t>
            </w:r>
          </w:p>
        </w:tc>
        <w:tc>
          <w:tcPr>
            <w:tcW w:w="1711"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43 395,85</w:t>
            </w:r>
          </w:p>
        </w:tc>
        <w:tc>
          <w:tcPr>
            <w:tcW w:w="1559"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3 886,41</w:t>
            </w:r>
          </w:p>
        </w:tc>
        <w:tc>
          <w:tcPr>
            <w:tcW w:w="1230"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108,96</w:t>
            </w:r>
          </w:p>
        </w:tc>
      </w:tr>
      <w:tr w:rsidR="00CD677D" w:rsidRPr="00CD677D" w:rsidTr="00CD677D">
        <w:trPr>
          <w:trHeight w:val="300"/>
        </w:trPr>
        <w:tc>
          <w:tcPr>
            <w:tcW w:w="3652" w:type="dxa"/>
            <w:tcBorders>
              <w:top w:val="nil"/>
              <w:left w:val="single" w:sz="4" w:space="0" w:color="auto"/>
              <w:bottom w:val="single" w:sz="4" w:space="0" w:color="auto"/>
              <w:right w:val="single" w:sz="4" w:space="0" w:color="auto"/>
            </w:tcBorders>
            <w:shd w:val="clear" w:color="auto" w:fill="FF99CC"/>
            <w:vAlign w:val="bottom"/>
            <w:hideMark/>
          </w:tcPr>
          <w:p w:rsidR="00CD677D" w:rsidRPr="00CD677D" w:rsidRDefault="00CD677D" w:rsidP="00CD677D">
            <w:pPr>
              <w:rPr>
                <w:color w:val="000000"/>
                <w:sz w:val="20"/>
                <w:szCs w:val="20"/>
                <w:lang w:val="uk-UA" w:eastAsia="uk-UA"/>
              </w:rPr>
            </w:pPr>
            <w:r w:rsidRPr="00CD677D">
              <w:rPr>
                <w:color w:val="000000"/>
                <w:sz w:val="20"/>
                <w:szCs w:val="20"/>
                <w:lang w:val="uk-UA" w:eastAsia="uk-UA"/>
              </w:rPr>
              <w:t xml:space="preserve">разові (СВК </w:t>
            </w:r>
            <w:proofErr w:type="spellStart"/>
            <w:r w:rsidRPr="00CD677D">
              <w:rPr>
                <w:color w:val="000000"/>
                <w:sz w:val="20"/>
                <w:szCs w:val="20"/>
                <w:lang w:val="uk-UA" w:eastAsia="uk-UA"/>
              </w:rPr>
              <w:t>-вибори</w:t>
            </w:r>
            <w:proofErr w:type="spellEnd"/>
            <w:r w:rsidRPr="00CD677D">
              <w:rPr>
                <w:color w:val="000000"/>
                <w:sz w:val="20"/>
                <w:szCs w:val="20"/>
                <w:lang w:val="uk-UA" w:eastAsia="uk-UA"/>
              </w:rPr>
              <w:t>)</w:t>
            </w:r>
          </w:p>
        </w:tc>
        <w:tc>
          <w:tcPr>
            <w:tcW w:w="1740"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FF0000"/>
                <w:sz w:val="22"/>
                <w:szCs w:val="22"/>
              </w:rPr>
              <w:t>-6 729,44</w:t>
            </w:r>
          </w:p>
        </w:tc>
        <w:tc>
          <w:tcPr>
            <w:tcW w:w="1711"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84319,63</w:t>
            </w:r>
          </w:p>
        </w:tc>
        <w:tc>
          <w:tcPr>
            <w:tcW w:w="1559"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FF0000"/>
                <w:sz w:val="22"/>
                <w:szCs w:val="22"/>
              </w:rPr>
              <w:t>-91 049,07</w:t>
            </w:r>
          </w:p>
        </w:tc>
        <w:tc>
          <w:tcPr>
            <w:tcW w:w="1230"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-7,98</w:t>
            </w:r>
          </w:p>
        </w:tc>
      </w:tr>
      <w:tr w:rsidR="00CD677D" w:rsidRPr="00CD677D" w:rsidTr="00CD677D">
        <w:trPr>
          <w:trHeight w:val="531"/>
        </w:trPr>
        <w:tc>
          <w:tcPr>
            <w:tcW w:w="3652" w:type="dxa"/>
            <w:tcBorders>
              <w:top w:val="nil"/>
              <w:left w:val="single" w:sz="4" w:space="0" w:color="auto"/>
              <w:bottom w:val="single" w:sz="4" w:space="0" w:color="auto"/>
              <w:right w:val="single" w:sz="4" w:space="0" w:color="auto"/>
            </w:tcBorders>
            <w:shd w:val="clear" w:color="auto" w:fill="FF99CC"/>
            <w:vAlign w:val="bottom"/>
            <w:hideMark/>
          </w:tcPr>
          <w:p w:rsidR="00CD677D" w:rsidRPr="00CD677D" w:rsidRDefault="00CD677D" w:rsidP="00CD677D">
            <w:pPr>
              <w:jc w:val="center"/>
              <w:rPr>
                <w:b/>
                <w:bCs/>
                <w:color w:val="000000"/>
                <w:sz w:val="20"/>
                <w:szCs w:val="20"/>
                <w:lang w:val="uk-UA" w:eastAsia="uk-UA"/>
              </w:rPr>
            </w:pPr>
            <w:r w:rsidRPr="00CD677D">
              <w:rPr>
                <w:b/>
                <w:bCs/>
                <w:color w:val="000000"/>
                <w:sz w:val="20"/>
                <w:szCs w:val="20"/>
                <w:lang w:val="uk-UA" w:eastAsia="uk-UA"/>
              </w:rPr>
              <w:t>РАЗОМ:</w:t>
            </w:r>
          </w:p>
        </w:tc>
        <w:tc>
          <w:tcPr>
            <w:tcW w:w="1740"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b/>
                <w:bCs/>
                <w:color w:val="000000"/>
                <w:sz w:val="22"/>
                <w:szCs w:val="22"/>
              </w:rPr>
            </w:pPr>
            <w:r w:rsidRPr="00CD677D">
              <w:rPr>
                <w:rFonts w:ascii="Calibri" w:hAnsi="Calibri" w:cs="Calibri"/>
                <w:b/>
                <w:bCs/>
                <w:color w:val="000000"/>
                <w:sz w:val="22"/>
                <w:szCs w:val="22"/>
              </w:rPr>
              <w:t>44 981 668,04</w:t>
            </w:r>
          </w:p>
        </w:tc>
        <w:tc>
          <w:tcPr>
            <w:tcW w:w="1711"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b/>
                <w:bCs/>
                <w:color w:val="000000"/>
                <w:sz w:val="22"/>
                <w:szCs w:val="22"/>
              </w:rPr>
            </w:pPr>
            <w:r w:rsidRPr="00CD677D">
              <w:rPr>
                <w:rFonts w:ascii="Arial" w:hAnsi="Arial" w:cs="Arial"/>
                <w:b/>
                <w:bCs/>
                <w:color w:val="000000"/>
                <w:sz w:val="22"/>
                <w:szCs w:val="22"/>
              </w:rPr>
              <w:t>39692383,5</w:t>
            </w:r>
          </w:p>
        </w:tc>
        <w:tc>
          <w:tcPr>
            <w:tcW w:w="1559"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b/>
                <w:bCs/>
                <w:color w:val="000000"/>
                <w:sz w:val="22"/>
                <w:szCs w:val="22"/>
              </w:rPr>
            </w:pPr>
            <w:r w:rsidRPr="00CD677D">
              <w:rPr>
                <w:rFonts w:ascii="Calibri" w:hAnsi="Calibri" w:cs="Calibri"/>
                <w:b/>
                <w:bCs/>
                <w:color w:val="000000"/>
                <w:sz w:val="22"/>
                <w:szCs w:val="22"/>
              </w:rPr>
              <w:t>5 289 284,54</w:t>
            </w:r>
          </w:p>
        </w:tc>
        <w:tc>
          <w:tcPr>
            <w:tcW w:w="1230"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b/>
                <w:bCs/>
                <w:color w:val="000000"/>
                <w:sz w:val="22"/>
                <w:szCs w:val="22"/>
              </w:rPr>
            </w:pPr>
            <w:r w:rsidRPr="00CD677D">
              <w:rPr>
                <w:rFonts w:ascii="Calibri" w:hAnsi="Calibri" w:cs="Calibri"/>
                <w:b/>
                <w:bCs/>
                <w:color w:val="000000"/>
                <w:sz w:val="22"/>
                <w:szCs w:val="22"/>
              </w:rPr>
              <w:t>113,33</w:t>
            </w:r>
          </w:p>
        </w:tc>
      </w:tr>
    </w:tbl>
    <w:p w:rsidR="00CD677D" w:rsidRPr="00CD677D" w:rsidRDefault="00CD677D" w:rsidP="00CD677D">
      <w:pPr>
        <w:rPr>
          <w:sz w:val="20"/>
          <w:szCs w:val="20"/>
          <w:lang w:val="uk-UA"/>
        </w:rPr>
      </w:pPr>
    </w:p>
    <w:p w:rsidR="00CB5A83" w:rsidRDefault="00CB5A83" w:rsidP="00CD677D">
      <w:pPr>
        <w:jc w:val="center"/>
        <w:rPr>
          <w:b/>
          <w:sz w:val="28"/>
          <w:szCs w:val="28"/>
          <w:lang w:val="uk-UA"/>
        </w:rPr>
      </w:pPr>
    </w:p>
    <w:p w:rsidR="00CB5A83" w:rsidRDefault="00CB5A83" w:rsidP="00CD677D">
      <w:pPr>
        <w:jc w:val="center"/>
        <w:rPr>
          <w:b/>
          <w:sz w:val="28"/>
          <w:szCs w:val="28"/>
          <w:lang w:val="uk-UA"/>
        </w:rPr>
      </w:pPr>
    </w:p>
    <w:p w:rsidR="00CB5A83" w:rsidRDefault="00CB5A83" w:rsidP="00CD677D">
      <w:pPr>
        <w:jc w:val="center"/>
        <w:rPr>
          <w:b/>
          <w:sz w:val="28"/>
          <w:szCs w:val="28"/>
          <w:lang w:val="uk-UA"/>
        </w:rPr>
      </w:pPr>
    </w:p>
    <w:p w:rsidR="00CB5A83" w:rsidRDefault="00CB5A83" w:rsidP="00CD677D">
      <w:pPr>
        <w:jc w:val="center"/>
        <w:rPr>
          <w:b/>
          <w:sz w:val="28"/>
          <w:szCs w:val="28"/>
          <w:lang w:val="uk-UA"/>
        </w:rPr>
      </w:pPr>
    </w:p>
    <w:p w:rsidR="00CB5A83" w:rsidRDefault="00CB5A83" w:rsidP="00CD677D">
      <w:pPr>
        <w:jc w:val="center"/>
        <w:rPr>
          <w:b/>
          <w:sz w:val="28"/>
          <w:szCs w:val="28"/>
          <w:lang w:val="uk-UA"/>
        </w:rPr>
      </w:pPr>
    </w:p>
    <w:p w:rsidR="00CB5A83" w:rsidRDefault="00CB5A83" w:rsidP="00CD677D">
      <w:pPr>
        <w:jc w:val="center"/>
        <w:rPr>
          <w:b/>
          <w:sz w:val="28"/>
          <w:szCs w:val="28"/>
          <w:lang w:val="uk-UA"/>
        </w:rPr>
      </w:pPr>
    </w:p>
    <w:p w:rsidR="00CB5A83" w:rsidRDefault="00CB5A83" w:rsidP="00CD677D">
      <w:pPr>
        <w:jc w:val="center"/>
        <w:rPr>
          <w:b/>
          <w:sz w:val="28"/>
          <w:szCs w:val="28"/>
          <w:lang w:val="uk-UA"/>
        </w:rPr>
      </w:pPr>
    </w:p>
    <w:p w:rsidR="00CB5A83" w:rsidRDefault="00CB5A83" w:rsidP="00CD677D">
      <w:pPr>
        <w:jc w:val="center"/>
        <w:rPr>
          <w:b/>
          <w:sz w:val="28"/>
          <w:szCs w:val="28"/>
          <w:lang w:val="uk-UA"/>
        </w:rPr>
      </w:pPr>
    </w:p>
    <w:p w:rsidR="00CB5A83" w:rsidRDefault="00CB5A83" w:rsidP="00CD677D">
      <w:pPr>
        <w:jc w:val="center"/>
        <w:rPr>
          <w:b/>
          <w:sz w:val="28"/>
          <w:szCs w:val="28"/>
          <w:lang w:val="uk-UA"/>
        </w:rPr>
      </w:pPr>
    </w:p>
    <w:p w:rsidR="00CD677D" w:rsidRPr="00CD677D" w:rsidRDefault="00CD677D" w:rsidP="00CD677D">
      <w:pPr>
        <w:jc w:val="center"/>
        <w:rPr>
          <w:b/>
          <w:sz w:val="28"/>
          <w:szCs w:val="28"/>
          <w:lang w:val="uk-UA"/>
        </w:rPr>
      </w:pPr>
      <w:r w:rsidRPr="00CD677D">
        <w:rPr>
          <w:b/>
          <w:sz w:val="28"/>
          <w:szCs w:val="28"/>
          <w:lang w:val="uk-UA"/>
        </w:rPr>
        <w:lastRenderedPageBreak/>
        <w:t>Надходження ПДФО від заробітної плати в розрізі галузей:</w:t>
      </w:r>
    </w:p>
    <w:tbl>
      <w:tblPr>
        <w:tblW w:w="9930" w:type="dxa"/>
        <w:tblInd w:w="93" w:type="dxa"/>
        <w:tblLayout w:type="fixed"/>
        <w:tblLook w:val="04A0" w:firstRow="1" w:lastRow="0" w:firstColumn="1" w:lastColumn="0" w:noHBand="0" w:noVBand="1"/>
      </w:tblPr>
      <w:tblGrid>
        <w:gridCol w:w="582"/>
        <w:gridCol w:w="3401"/>
        <w:gridCol w:w="1700"/>
        <w:gridCol w:w="1842"/>
        <w:gridCol w:w="1414"/>
        <w:gridCol w:w="991"/>
      </w:tblGrid>
      <w:tr w:rsidR="00CD677D" w:rsidRPr="00CD677D" w:rsidTr="00CD677D">
        <w:trPr>
          <w:trHeight w:val="315"/>
        </w:trPr>
        <w:tc>
          <w:tcPr>
            <w:tcW w:w="582" w:type="dxa"/>
            <w:tcBorders>
              <w:top w:val="nil"/>
              <w:left w:val="nil"/>
              <w:bottom w:val="single" w:sz="4" w:space="0" w:color="auto"/>
              <w:right w:val="nil"/>
            </w:tcBorders>
          </w:tcPr>
          <w:p w:rsidR="00CD677D" w:rsidRPr="00CD677D" w:rsidRDefault="00CD677D" w:rsidP="00CD677D">
            <w:pPr>
              <w:rPr>
                <w:rFonts w:ascii="Calibri" w:hAnsi="Calibri" w:cs="Calibri"/>
                <w:color w:val="000000"/>
                <w:sz w:val="22"/>
                <w:szCs w:val="22"/>
                <w:lang w:val="uk-UA" w:eastAsia="uk-UA"/>
              </w:rPr>
            </w:pPr>
          </w:p>
          <w:p w:rsidR="00CD677D" w:rsidRPr="00CD677D" w:rsidRDefault="00CD677D" w:rsidP="00CD677D">
            <w:pPr>
              <w:rPr>
                <w:rFonts w:ascii="Calibri" w:hAnsi="Calibri" w:cs="Calibri"/>
                <w:color w:val="000000"/>
                <w:sz w:val="22"/>
                <w:szCs w:val="22"/>
                <w:lang w:val="uk-UA" w:eastAsia="uk-UA"/>
              </w:rPr>
            </w:pPr>
          </w:p>
        </w:tc>
        <w:tc>
          <w:tcPr>
            <w:tcW w:w="3402" w:type="dxa"/>
            <w:tcBorders>
              <w:top w:val="nil"/>
              <w:left w:val="nil"/>
              <w:bottom w:val="single" w:sz="4" w:space="0" w:color="auto"/>
              <w:right w:val="nil"/>
            </w:tcBorders>
            <w:noWrap/>
            <w:vAlign w:val="bottom"/>
            <w:hideMark/>
          </w:tcPr>
          <w:p w:rsidR="00CD677D" w:rsidRPr="00CD677D" w:rsidRDefault="00CD677D" w:rsidP="00CD677D">
            <w:pPr>
              <w:rPr>
                <w:rFonts w:ascii="Calibri" w:hAnsi="Calibri" w:cs="Calibri"/>
                <w:color w:val="000000"/>
                <w:sz w:val="22"/>
                <w:szCs w:val="22"/>
                <w:lang w:val="uk-UA" w:eastAsia="uk-UA"/>
              </w:rPr>
            </w:pPr>
            <w:r w:rsidRPr="00CD677D">
              <w:rPr>
                <w:rFonts w:ascii="Calibri" w:hAnsi="Calibri" w:cs="Calibri"/>
                <w:color w:val="000000"/>
                <w:sz w:val="22"/>
                <w:szCs w:val="22"/>
                <w:lang w:val="uk-UA" w:eastAsia="uk-UA"/>
              </w:rPr>
              <w:t> </w:t>
            </w:r>
          </w:p>
        </w:tc>
        <w:tc>
          <w:tcPr>
            <w:tcW w:w="1701" w:type="dxa"/>
            <w:tcBorders>
              <w:top w:val="nil"/>
              <w:left w:val="nil"/>
              <w:bottom w:val="single" w:sz="4" w:space="0" w:color="auto"/>
              <w:right w:val="nil"/>
            </w:tcBorders>
            <w:noWrap/>
            <w:vAlign w:val="bottom"/>
            <w:hideMark/>
          </w:tcPr>
          <w:p w:rsidR="00CD677D" w:rsidRPr="00CD677D" w:rsidRDefault="00CD677D" w:rsidP="00CD677D">
            <w:pPr>
              <w:jc w:val="right"/>
              <w:rPr>
                <w:rFonts w:ascii="Calibri" w:hAnsi="Calibri" w:cs="Calibri"/>
                <w:color w:val="000000"/>
                <w:sz w:val="22"/>
                <w:szCs w:val="22"/>
                <w:lang w:val="uk-UA" w:eastAsia="uk-UA"/>
              </w:rPr>
            </w:pPr>
            <w:r w:rsidRPr="00CD677D">
              <w:rPr>
                <w:rFonts w:ascii="Calibri" w:hAnsi="Calibri" w:cs="Calibri"/>
                <w:color w:val="000000"/>
                <w:sz w:val="22"/>
                <w:szCs w:val="22"/>
                <w:lang w:val="uk-UA" w:eastAsia="uk-UA"/>
              </w:rPr>
              <w:t>60%</w:t>
            </w:r>
          </w:p>
        </w:tc>
        <w:tc>
          <w:tcPr>
            <w:tcW w:w="1843" w:type="dxa"/>
            <w:tcBorders>
              <w:top w:val="nil"/>
              <w:left w:val="nil"/>
              <w:bottom w:val="single" w:sz="4" w:space="0" w:color="auto"/>
              <w:right w:val="nil"/>
            </w:tcBorders>
            <w:noWrap/>
            <w:vAlign w:val="bottom"/>
            <w:hideMark/>
          </w:tcPr>
          <w:p w:rsidR="00CD677D" w:rsidRPr="00CD677D" w:rsidRDefault="00CD677D" w:rsidP="00CD677D">
            <w:pPr>
              <w:jc w:val="right"/>
              <w:rPr>
                <w:rFonts w:ascii="Calibri" w:hAnsi="Calibri" w:cs="Calibri"/>
                <w:color w:val="000000"/>
                <w:sz w:val="22"/>
                <w:szCs w:val="22"/>
                <w:lang w:val="uk-UA" w:eastAsia="uk-UA"/>
              </w:rPr>
            </w:pPr>
            <w:r w:rsidRPr="00CD677D">
              <w:rPr>
                <w:rFonts w:ascii="Calibri" w:hAnsi="Calibri" w:cs="Calibri"/>
                <w:color w:val="000000"/>
                <w:sz w:val="22"/>
                <w:szCs w:val="22"/>
                <w:lang w:val="uk-UA" w:eastAsia="uk-UA"/>
              </w:rPr>
              <w:t>60%</w:t>
            </w:r>
          </w:p>
        </w:tc>
        <w:tc>
          <w:tcPr>
            <w:tcW w:w="1414" w:type="dxa"/>
            <w:tcBorders>
              <w:top w:val="nil"/>
              <w:left w:val="nil"/>
              <w:bottom w:val="single" w:sz="4" w:space="0" w:color="auto"/>
              <w:right w:val="nil"/>
            </w:tcBorders>
            <w:noWrap/>
            <w:vAlign w:val="bottom"/>
            <w:hideMark/>
          </w:tcPr>
          <w:p w:rsidR="00CD677D" w:rsidRPr="00CD677D" w:rsidRDefault="00CD677D" w:rsidP="00CD677D">
            <w:pPr>
              <w:rPr>
                <w:rFonts w:ascii="Calibri" w:hAnsi="Calibri" w:cs="Calibri"/>
                <w:color w:val="000000"/>
                <w:sz w:val="22"/>
                <w:szCs w:val="22"/>
                <w:lang w:val="uk-UA" w:eastAsia="uk-UA"/>
              </w:rPr>
            </w:pPr>
            <w:r w:rsidRPr="00CD677D">
              <w:rPr>
                <w:rFonts w:ascii="Calibri" w:hAnsi="Calibri" w:cs="Calibri"/>
                <w:color w:val="000000"/>
                <w:sz w:val="22"/>
                <w:szCs w:val="22"/>
                <w:lang w:val="uk-UA" w:eastAsia="uk-UA"/>
              </w:rPr>
              <w:t> </w:t>
            </w:r>
          </w:p>
        </w:tc>
        <w:tc>
          <w:tcPr>
            <w:tcW w:w="991" w:type="dxa"/>
            <w:tcBorders>
              <w:top w:val="nil"/>
              <w:left w:val="nil"/>
              <w:bottom w:val="single" w:sz="4" w:space="0" w:color="auto"/>
              <w:right w:val="nil"/>
            </w:tcBorders>
            <w:noWrap/>
            <w:vAlign w:val="bottom"/>
            <w:hideMark/>
          </w:tcPr>
          <w:p w:rsidR="00CD677D" w:rsidRPr="00CD677D" w:rsidRDefault="00CD677D" w:rsidP="00CD677D">
            <w:pPr>
              <w:rPr>
                <w:rFonts w:ascii="Calibri" w:hAnsi="Calibri" w:cs="Calibri"/>
                <w:color w:val="000000"/>
                <w:sz w:val="22"/>
                <w:szCs w:val="22"/>
                <w:lang w:val="uk-UA" w:eastAsia="uk-UA"/>
              </w:rPr>
            </w:pPr>
            <w:r w:rsidRPr="00CD677D">
              <w:rPr>
                <w:rFonts w:ascii="Calibri" w:hAnsi="Calibri" w:cs="Calibri"/>
                <w:color w:val="000000"/>
                <w:sz w:val="22"/>
                <w:szCs w:val="22"/>
                <w:lang w:val="uk-UA" w:eastAsia="uk-UA"/>
              </w:rPr>
              <w:t> </w:t>
            </w:r>
          </w:p>
        </w:tc>
      </w:tr>
      <w:tr w:rsidR="00CD677D" w:rsidRPr="00CD677D" w:rsidTr="00CD677D">
        <w:trPr>
          <w:trHeight w:val="1020"/>
        </w:trPr>
        <w:tc>
          <w:tcPr>
            <w:tcW w:w="582" w:type="dxa"/>
            <w:tcBorders>
              <w:top w:val="nil"/>
              <w:left w:val="single" w:sz="4" w:space="0" w:color="auto"/>
              <w:bottom w:val="single" w:sz="4" w:space="0" w:color="auto"/>
              <w:right w:val="single" w:sz="4" w:space="0" w:color="auto"/>
            </w:tcBorders>
            <w:shd w:val="clear" w:color="auto" w:fill="CCFFFF"/>
            <w:vAlign w:val="center"/>
            <w:hideMark/>
          </w:tcPr>
          <w:p w:rsidR="00CD677D" w:rsidRPr="00CD677D" w:rsidRDefault="00CD677D" w:rsidP="00CD677D">
            <w:pPr>
              <w:suppressAutoHyphens/>
              <w:jc w:val="center"/>
              <w:rPr>
                <w:b/>
                <w:bCs/>
                <w:color w:val="000000"/>
                <w:sz w:val="20"/>
                <w:szCs w:val="20"/>
                <w:lang w:eastAsia="ar-SA"/>
              </w:rPr>
            </w:pPr>
            <w:proofErr w:type="spellStart"/>
            <w:r w:rsidRPr="00CD677D">
              <w:rPr>
                <w:b/>
                <w:bCs/>
                <w:color w:val="000000"/>
                <w:sz w:val="20"/>
                <w:szCs w:val="20"/>
              </w:rPr>
              <w:t>галузь</w:t>
            </w:r>
            <w:proofErr w:type="spellEnd"/>
          </w:p>
        </w:tc>
        <w:tc>
          <w:tcPr>
            <w:tcW w:w="3402" w:type="dxa"/>
            <w:tcBorders>
              <w:top w:val="nil"/>
              <w:left w:val="single" w:sz="4" w:space="0" w:color="auto"/>
              <w:bottom w:val="single" w:sz="4" w:space="0" w:color="auto"/>
              <w:right w:val="single" w:sz="4" w:space="0" w:color="auto"/>
            </w:tcBorders>
            <w:shd w:val="clear" w:color="auto" w:fill="CCFFFF"/>
            <w:vAlign w:val="center"/>
            <w:hideMark/>
          </w:tcPr>
          <w:p w:rsidR="00CD677D" w:rsidRPr="00CD677D" w:rsidRDefault="00CD677D" w:rsidP="00CD677D">
            <w:pPr>
              <w:jc w:val="center"/>
              <w:rPr>
                <w:color w:val="000000"/>
                <w:sz w:val="20"/>
                <w:szCs w:val="20"/>
                <w:lang w:val="uk-UA" w:eastAsia="uk-UA"/>
              </w:rPr>
            </w:pPr>
            <w:r w:rsidRPr="00CD677D">
              <w:rPr>
                <w:color w:val="000000"/>
                <w:sz w:val="20"/>
                <w:szCs w:val="20"/>
                <w:lang w:val="uk-UA" w:eastAsia="uk-UA"/>
              </w:rPr>
              <w:t>по галузі_коди-11010100+11010200</w:t>
            </w:r>
          </w:p>
        </w:tc>
        <w:tc>
          <w:tcPr>
            <w:tcW w:w="1701" w:type="dxa"/>
            <w:tcBorders>
              <w:top w:val="nil"/>
              <w:left w:val="nil"/>
              <w:bottom w:val="single" w:sz="4" w:space="0" w:color="auto"/>
              <w:right w:val="single" w:sz="4" w:space="0" w:color="auto"/>
            </w:tcBorders>
            <w:shd w:val="clear" w:color="auto" w:fill="CCFFFF"/>
            <w:vAlign w:val="center"/>
            <w:hideMark/>
          </w:tcPr>
          <w:p w:rsidR="00CD677D" w:rsidRPr="00CD677D" w:rsidRDefault="00CD677D" w:rsidP="00CD677D">
            <w:pPr>
              <w:jc w:val="center"/>
              <w:rPr>
                <w:b/>
                <w:bCs/>
                <w:color w:val="000000"/>
                <w:sz w:val="20"/>
                <w:szCs w:val="20"/>
              </w:rPr>
            </w:pPr>
            <w:r w:rsidRPr="00CD677D">
              <w:rPr>
                <w:b/>
                <w:bCs/>
                <w:color w:val="000000"/>
                <w:sz w:val="20"/>
                <w:szCs w:val="20"/>
              </w:rPr>
              <w:t>ФАКТ</w:t>
            </w:r>
            <w:proofErr w:type="gramStart"/>
            <w:r w:rsidRPr="00CD677D">
              <w:rPr>
                <w:b/>
                <w:bCs/>
                <w:color w:val="000000"/>
                <w:sz w:val="20"/>
                <w:szCs w:val="20"/>
              </w:rPr>
              <w:t xml:space="preserve"> З</w:t>
            </w:r>
            <w:proofErr w:type="gramEnd"/>
            <w:r w:rsidRPr="00CD677D">
              <w:rPr>
                <w:b/>
                <w:bCs/>
                <w:color w:val="000000"/>
                <w:sz w:val="20"/>
                <w:szCs w:val="20"/>
              </w:rPr>
              <w:t xml:space="preserve">а 12 </w:t>
            </w:r>
            <w:proofErr w:type="spellStart"/>
            <w:r w:rsidRPr="00CD677D">
              <w:rPr>
                <w:b/>
                <w:bCs/>
                <w:color w:val="000000"/>
                <w:sz w:val="20"/>
                <w:szCs w:val="20"/>
              </w:rPr>
              <w:t>місяців</w:t>
            </w:r>
            <w:proofErr w:type="spellEnd"/>
            <w:r w:rsidRPr="00CD677D">
              <w:rPr>
                <w:b/>
                <w:bCs/>
                <w:color w:val="000000"/>
                <w:sz w:val="20"/>
                <w:szCs w:val="20"/>
              </w:rPr>
              <w:t xml:space="preserve">  2021 року</w:t>
            </w:r>
          </w:p>
        </w:tc>
        <w:tc>
          <w:tcPr>
            <w:tcW w:w="1843" w:type="dxa"/>
            <w:tcBorders>
              <w:top w:val="nil"/>
              <w:left w:val="nil"/>
              <w:bottom w:val="single" w:sz="4" w:space="0" w:color="auto"/>
              <w:right w:val="single" w:sz="4" w:space="0" w:color="auto"/>
            </w:tcBorders>
            <w:shd w:val="clear" w:color="auto" w:fill="CCFFFF"/>
            <w:vAlign w:val="center"/>
            <w:hideMark/>
          </w:tcPr>
          <w:p w:rsidR="00CD677D" w:rsidRPr="00CD677D" w:rsidRDefault="00CD677D" w:rsidP="00CD677D">
            <w:pPr>
              <w:jc w:val="center"/>
              <w:rPr>
                <w:b/>
                <w:bCs/>
                <w:color w:val="000000"/>
                <w:sz w:val="20"/>
                <w:szCs w:val="20"/>
              </w:rPr>
            </w:pPr>
            <w:r w:rsidRPr="00CD677D">
              <w:rPr>
                <w:b/>
                <w:bCs/>
                <w:color w:val="000000"/>
                <w:sz w:val="20"/>
                <w:szCs w:val="20"/>
              </w:rPr>
              <w:t>ФАКТ</w:t>
            </w:r>
            <w:proofErr w:type="gramStart"/>
            <w:r w:rsidRPr="00CD677D">
              <w:rPr>
                <w:b/>
                <w:bCs/>
                <w:color w:val="000000"/>
                <w:sz w:val="20"/>
                <w:szCs w:val="20"/>
              </w:rPr>
              <w:t xml:space="preserve"> З</w:t>
            </w:r>
            <w:proofErr w:type="gramEnd"/>
            <w:r w:rsidRPr="00CD677D">
              <w:rPr>
                <w:b/>
                <w:bCs/>
                <w:color w:val="000000"/>
                <w:sz w:val="20"/>
                <w:szCs w:val="20"/>
              </w:rPr>
              <w:t xml:space="preserve">а 12 </w:t>
            </w:r>
            <w:proofErr w:type="spellStart"/>
            <w:r w:rsidRPr="00CD677D">
              <w:rPr>
                <w:b/>
                <w:bCs/>
                <w:color w:val="000000"/>
                <w:sz w:val="20"/>
                <w:szCs w:val="20"/>
              </w:rPr>
              <w:t>місяців</w:t>
            </w:r>
            <w:proofErr w:type="spellEnd"/>
            <w:r w:rsidRPr="00CD677D">
              <w:rPr>
                <w:b/>
                <w:bCs/>
                <w:color w:val="000000"/>
                <w:sz w:val="20"/>
                <w:szCs w:val="20"/>
              </w:rPr>
              <w:t xml:space="preserve"> 2020 року</w:t>
            </w:r>
          </w:p>
        </w:tc>
        <w:tc>
          <w:tcPr>
            <w:tcW w:w="1414" w:type="dxa"/>
            <w:tcBorders>
              <w:top w:val="nil"/>
              <w:left w:val="nil"/>
              <w:bottom w:val="single" w:sz="4" w:space="0" w:color="auto"/>
              <w:right w:val="single" w:sz="4" w:space="0" w:color="auto"/>
            </w:tcBorders>
            <w:shd w:val="clear" w:color="auto" w:fill="CCFFFF"/>
            <w:vAlign w:val="center"/>
            <w:hideMark/>
          </w:tcPr>
          <w:p w:rsidR="00CD677D" w:rsidRPr="00CD677D" w:rsidRDefault="00CD677D" w:rsidP="00CD677D">
            <w:pPr>
              <w:jc w:val="center"/>
              <w:rPr>
                <w:color w:val="000000"/>
                <w:sz w:val="20"/>
                <w:szCs w:val="20"/>
              </w:rPr>
            </w:pPr>
            <w:r w:rsidRPr="00CD677D">
              <w:rPr>
                <w:color w:val="000000"/>
                <w:sz w:val="20"/>
                <w:szCs w:val="20"/>
              </w:rPr>
              <w:t xml:space="preserve">(+/-) </w:t>
            </w:r>
            <w:proofErr w:type="spellStart"/>
            <w:r w:rsidRPr="00CD677D">
              <w:rPr>
                <w:color w:val="000000"/>
                <w:sz w:val="20"/>
                <w:szCs w:val="20"/>
              </w:rPr>
              <w:t>відхилення</w:t>
            </w:r>
            <w:proofErr w:type="spellEnd"/>
            <w:r w:rsidRPr="00CD677D">
              <w:rPr>
                <w:color w:val="000000"/>
                <w:sz w:val="20"/>
                <w:szCs w:val="20"/>
              </w:rPr>
              <w:t xml:space="preserve"> </w:t>
            </w:r>
            <w:proofErr w:type="gramStart"/>
            <w:r w:rsidRPr="00CD677D">
              <w:rPr>
                <w:color w:val="000000"/>
                <w:sz w:val="20"/>
                <w:szCs w:val="20"/>
              </w:rPr>
              <w:t>до</w:t>
            </w:r>
            <w:proofErr w:type="gramEnd"/>
            <w:r w:rsidRPr="00CD677D">
              <w:rPr>
                <w:color w:val="000000"/>
                <w:sz w:val="20"/>
                <w:szCs w:val="20"/>
              </w:rPr>
              <w:t xml:space="preserve"> факт </w:t>
            </w:r>
            <w:proofErr w:type="spellStart"/>
            <w:r w:rsidRPr="00CD677D">
              <w:rPr>
                <w:color w:val="000000"/>
                <w:sz w:val="20"/>
                <w:szCs w:val="20"/>
              </w:rPr>
              <w:t>минулого</w:t>
            </w:r>
            <w:proofErr w:type="spellEnd"/>
            <w:r w:rsidRPr="00CD677D">
              <w:rPr>
                <w:color w:val="000000"/>
                <w:sz w:val="20"/>
                <w:szCs w:val="20"/>
              </w:rPr>
              <w:t xml:space="preserve"> року</w:t>
            </w:r>
          </w:p>
        </w:tc>
        <w:tc>
          <w:tcPr>
            <w:tcW w:w="991" w:type="dxa"/>
            <w:tcBorders>
              <w:top w:val="nil"/>
              <w:left w:val="nil"/>
              <w:bottom w:val="single" w:sz="4" w:space="0" w:color="auto"/>
              <w:right w:val="single" w:sz="4" w:space="0" w:color="auto"/>
            </w:tcBorders>
            <w:shd w:val="clear" w:color="auto" w:fill="CCFFFF"/>
            <w:vAlign w:val="center"/>
            <w:hideMark/>
          </w:tcPr>
          <w:p w:rsidR="00CD677D" w:rsidRPr="00CD677D" w:rsidRDefault="00CD677D" w:rsidP="00CD677D">
            <w:pPr>
              <w:jc w:val="center"/>
              <w:rPr>
                <w:color w:val="000000"/>
                <w:sz w:val="20"/>
                <w:szCs w:val="20"/>
              </w:rPr>
            </w:pPr>
            <w:r w:rsidRPr="00CD677D">
              <w:rPr>
                <w:color w:val="000000"/>
                <w:sz w:val="20"/>
                <w:szCs w:val="20"/>
              </w:rPr>
              <w:t xml:space="preserve">% </w:t>
            </w:r>
            <w:proofErr w:type="spellStart"/>
            <w:r w:rsidRPr="00CD677D">
              <w:rPr>
                <w:color w:val="000000"/>
                <w:sz w:val="20"/>
                <w:szCs w:val="20"/>
              </w:rPr>
              <w:t>виконання</w:t>
            </w:r>
            <w:proofErr w:type="spellEnd"/>
            <w:r w:rsidRPr="00CD677D">
              <w:rPr>
                <w:color w:val="000000"/>
                <w:sz w:val="20"/>
                <w:szCs w:val="20"/>
              </w:rPr>
              <w:t xml:space="preserve"> </w:t>
            </w:r>
            <w:proofErr w:type="gramStart"/>
            <w:r w:rsidRPr="00CD677D">
              <w:rPr>
                <w:color w:val="000000"/>
                <w:sz w:val="20"/>
                <w:szCs w:val="20"/>
              </w:rPr>
              <w:t>до</w:t>
            </w:r>
            <w:proofErr w:type="gramEnd"/>
            <w:r w:rsidRPr="00CD677D">
              <w:rPr>
                <w:color w:val="000000"/>
                <w:sz w:val="20"/>
                <w:szCs w:val="20"/>
              </w:rPr>
              <w:t xml:space="preserve"> факт </w:t>
            </w:r>
            <w:proofErr w:type="spellStart"/>
            <w:r w:rsidRPr="00CD677D">
              <w:rPr>
                <w:color w:val="000000"/>
                <w:sz w:val="20"/>
                <w:szCs w:val="20"/>
              </w:rPr>
              <w:t>минулого</w:t>
            </w:r>
            <w:proofErr w:type="spellEnd"/>
            <w:r w:rsidRPr="00CD677D">
              <w:rPr>
                <w:color w:val="000000"/>
                <w:sz w:val="20"/>
                <w:szCs w:val="20"/>
              </w:rPr>
              <w:t xml:space="preserve"> року</w:t>
            </w:r>
          </w:p>
        </w:tc>
      </w:tr>
      <w:tr w:rsidR="00CD677D" w:rsidRPr="00CD677D" w:rsidTr="00CD677D">
        <w:trPr>
          <w:trHeight w:val="375"/>
        </w:trPr>
        <w:tc>
          <w:tcPr>
            <w:tcW w:w="582" w:type="dxa"/>
            <w:tcBorders>
              <w:top w:val="nil"/>
              <w:left w:val="single" w:sz="4" w:space="0" w:color="auto"/>
              <w:bottom w:val="single" w:sz="4" w:space="0" w:color="auto"/>
              <w:right w:val="single" w:sz="4" w:space="0" w:color="auto"/>
            </w:tcBorders>
            <w:vAlign w:val="bottom"/>
            <w:hideMark/>
          </w:tcPr>
          <w:p w:rsidR="00CD677D" w:rsidRPr="00CD677D" w:rsidRDefault="00CD677D" w:rsidP="00CD677D">
            <w:pPr>
              <w:suppressAutoHyphens/>
              <w:rPr>
                <w:b/>
                <w:bCs/>
                <w:color w:val="000000"/>
                <w:sz w:val="20"/>
                <w:szCs w:val="20"/>
                <w:lang w:eastAsia="ar-SA"/>
              </w:rPr>
            </w:pPr>
            <w:r w:rsidRPr="00CD677D">
              <w:rPr>
                <w:b/>
                <w:bCs/>
                <w:color w:val="000000"/>
                <w:sz w:val="20"/>
                <w:szCs w:val="20"/>
              </w:rPr>
              <w:t>01</w:t>
            </w:r>
          </w:p>
        </w:tc>
        <w:tc>
          <w:tcPr>
            <w:tcW w:w="3402" w:type="dxa"/>
            <w:tcBorders>
              <w:top w:val="nil"/>
              <w:left w:val="single" w:sz="4" w:space="0" w:color="auto"/>
              <w:bottom w:val="single" w:sz="4" w:space="0" w:color="auto"/>
              <w:right w:val="single" w:sz="4" w:space="0" w:color="auto"/>
            </w:tcBorders>
            <w:vAlign w:val="center"/>
            <w:hideMark/>
          </w:tcPr>
          <w:p w:rsidR="00CD677D" w:rsidRPr="00CD677D" w:rsidRDefault="00CD677D" w:rsidP="00CD677D">
            <w:pPr>
              <w:rPr>
                <w:color w:val="000000"/>
                <w:lang w:val="uk-UA" w:eastAsia="uk-UA"/>
              </w:rPr>
            </w:pPr>
            <w:r w:rsidRPr="00CD677D">
              <w:rPr>
                <w:color w:val="000000"/>
                <w:lang w:val="uk-UA" w:eastAsia="uk-UA"/>
              </w:rPr>
              <w:t>освіта</w:t>
            </w:r>
          </w:p>
        </w:tc>
        <w:tc>
          <w:tcPr>
            <w:tcW w:w="170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12942449,36</w:t>
            </w:r>
          </w:p>
        </w:tc>
        <w:tc>
          <w:tcPr>
            <w:tcW w:w="1843"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10795591,73</w:t>
            </w:r>
          </w:p>
        </w:tc>
        <w:tc>
          <w:tcPr>
            <w:tcW w:w="1414"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2 146 857,63</w:t>
            </w:r>
          </w:p>
        </w:tc>
        <w:tc>
          <w:tcPr>
            <w:tcW w:w="99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119,89</w:t>
            </w:r>
          </w:p>
        </w:tc>
      </w:tr>
      <w:tr w:rsidR="00CD677D" w:rsidRPr="00CD677D" w:rsidTr="00CD677D">
        <w:trPr>
          <w:trHeight w:val="375"/>
        </w:trPr>
        <w:tc>
          <w:tcPr>
            <w:tcW w:w="582" w:type="dxa"/>
            <w:tcBorders>
              <w:top w:val="nil"/>
              <w:left w:val="single" w:sz="4" w:space="0" w:color="auto"/>
              <w:bottom w:val="single" w:sz="4" w:space="0" w:color="auto"/>
              <w:right w:val="single" w:sz="4" w:space="0" w:color="auto"/>
            </w:tcBorders>
            <w:vAlign w:val="bottom"/>
            <w:hideMark/>
          </w:tcPr>
          <w:p w:rsidR="00CD677D" w:rsidRPr="00CD677D" w:rsidRDefault="00CD677D" w:rsidP="00CD677D">
            <w:pPr>
              <w:suppressAutoHyphens/>
              <w:rPr>
                <w:b/>
                <w:bCs/>
                <w:color w:val="000000"/>
                <w:sz w:val="20"/>
                <w:szCs w:val="20"/>
                <w:lang w:eastAsia="ar-SA"/>
              </w:rPr>
            </w:pPr>
            <w:r w:rsidRPr="00CD677D">
              <w:rPr>
                <w:b/>
                <w:bCs/>
                <w:color w:val="000000"/>
                <w:sz w:val="20"/>
                <w:szCs w:val="20"/>
              </w:rPr>
              <w:t>02</w:t>
            </w:r>
          </w:p>
        </w:tc>
        <w:tc>
          <w:tcPr>
            <w:tcW w:w="3402" w:type="dxa"/>
            <w:tcBorders>
              <w:top w:val="nil"/>
              <w:left w:val="single" w:sz="4" w:space="0" w:color="auto"/>
              <w:bottom w:val="single" w:sz="4" w:space="0" w:color="auto"/>
              <w:right w:val="single" w:sz="4" w:space="0" w:color="auto"/>
            </w:tcBorders>
            <w:vAlign w:val="center"/>
            <w:hideMark/>
          </w:tcPr>
          <w:p w:rsidR="00CD677D" w:rsidRPr="00CD677D" w:rsidRDefault="00CD677D" w:rsidP="00CD677D">
            <w:pPr>
              <w:rPr>
                <w:color w:val="000000"/>
                <w:lang w:val="uk-UA" w:eastAsia="uk-UA"/>
              </w:rPr>
            </w:pPr>
            <w:r w:rsidRPr="00CD677D">
              <w:rPr>
                <w:color w:val="000000"/>
                <w:lang w:val="uk-UA" w:eastAsia="uk-UA"/>
              </w:rPr>
              <w:t>охорона здоров"я</w:t>
            </w:r>
          </w:p>
        </w:tc>
        <w:tc>
          <w:tcPr>
            <w:tcW w:w="170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3364840,428</w:t>
            </w:r>
          </w:p>
        </w:tc>
        <w:tc>
          <w:tcPr>
            <w:tcW w:w="1843"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2720643,05</w:t>
            </w:r>
          </w:p>
        </w:tc>
        <w:tc>
          <w:tcPr>
            <w:tcW w:w="1414"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644 197,38</w:t>
            </w:r>
          </w:p>
        </w:tc>
        <w:tc>
          <w:tcPr>
            <w:tcW w:w="99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123,68</w:t>
            </w:r>
          </w:p>
        </w:tc>
      </w:tr>
      <w:tr w:rsidR="00CD677D" w:rsidRPr="00CD677D" w:rsidTr="00CD677D">
        <w:trPr>
          <w:trHeight w:val="375"/>
        </w:trPr>
        <w:tc>
          <w:tcPr>
            <w:tcW w:w="582" w:type="dxa"/>
            <w:tcBorders>
              <w:top w:val="nil"/>
              <w:left w:val="single" w:sz="4" w:space="0" w:color="auto"/>
              <w:bottom w:val="single" w:sz="4" w:space="0" w:color="auto"/>
              <w:right w:val="single" w:sz="4" w:space="0" w:color="auto"/>
            </w:tcBorders>
            <w:vAlign w:val="bottom"/>
            <w:hideMark/>
          </w:tcPr>
          <w:p w:rsidR="00CD677D" w:rsidRPr="00CD677D" w:rsidRDefault="00CD677D" w:rsidP="00CD677D">
            <w:pPr>
              <w:suppressAutoHyphens/>
              <w:rPr>
                <w:b/>
                <w:bCs/>
                <w:color w:val="000000"/>
                <w:sz w:val="20"/>
                <w:szCs w:val="20"/>
                <w:lang w:eastAsia="ar-SA"/>
              </w:rPr>
            </w:pPr>
            <w:r w:rsidRPr="00CD677D">
              <w:rPr>
                <w:b/>
                <w:bCs/>
                <w:color w:val="000000"/>
                <w:sz w:val="20"/>
                <w:szCs w:val="20"/>
              </w:rPr>
              <w:t>03</w:t>
            </w:r>
          </w:p>
        </w:tc>
        <w:tc>
          <w:tcPr>
            <w:tcW w:w="3402" w:type="dxa"/>
            <w:tcBorders>
              <w:top w:val="nil"/>
              <w:left w:val="single" w:sz="4" w:space="0" w:color="auto"/>
              <w:bottom w:val="single" w:sz="4" w:space="0" w:color="auto"/>
              <w:right w:val="single" w:sz="4" w:space="0" w:color="auto"/>
            </w:tcBorders>
            <w:vAlign w:val="center"/>
            <w:hideMark/>
          </w:tcPr>
          <w:p w:rsidR="00CD677D" w:rsidRPr="00CD677D" w:rsidRDefault="00CD677D" w:rsidP="00CD677D">
            <w:pPr>
              <w:rPr>
                <w:color w:val="000000"/>
                <w:lang w:val="uk-UA" w:eastAsia="uk-UA"/>
              </w:rPr>
            </w:pPr>
            <w:r w:rsidRPr="00CD677D">
              <w:rPr>
                <w:color w:val="000000"/>
                <w:lang w:val="uk-UA" w:eastAsia="uk-UA"/>
              </w:rPr>
              <w:t>культура</w:t>
            </w:r>
          </w:p>
        </w:tc>
        <w:tc>
          <w:tcPr>
            <w:tcW w:w="170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585121,8</w:t>
            </w:r>
          </w:p>
        </w:tc>
        <w:tc>
          <w:tcPr>
            <w:tcW w:w="1843"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420415,49</w:t>
            </w:r>
          </w:p>
        </w:tc>
        <w:tc>
          <w:tcPr>
            <w:tcW w:w="1414"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164 706,31</w:t>
            </w:r>
          </w:p>
        </w:tc>
        <w:tc>
          <w:tcPr>
            <w:tcW w:w="99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139,18</w:t>
            </w:r>
          </w:p>
        </w:tc>
      </w:tr>
      <w:tr w:rsidR="00CD677D" w:rsidRPr="00CD677D" w:rsidTr="00CD677D">
        <w:trPr>
          <w:trHeight w:val="375"/>
        </w:trPr>
        <w:tc>
          <w:tcPr>
            <w:tcW w:w="582" w:type="dxa"/>
            <w:tcBorders>
              <w:top w:val="nil"/>
              <w:left w:val="single" w:sz="4" w:space="0" w:color="auto"/>
              <w:bottom w:val="single" w:sz="4" w:space="0" w:color="auto"/>
              <w:right w:val="single" w:sz="4" w:space="0" w:color="auto"/>
            </w:tcBorders>
            <w:vAlign w:val="bottom"/>
            <w:hideMark/>
          </w:tcPr>
          <w:p w:rsidR="00CD677D" w:rsidRPr="00CD677D" w:rsidRDefault="00CD677D" w:rsidP="00CD677D">
            <w:pPr>
              <w:suppressAutoHyphens/>
              <w:rPr>
                <w:b/>
                <w:bCs/>
                <w:color w:val="000000"/>
                <w:sz w:val="20"/>
                <w:szCs w:val="20"/>
                <w:lang w:eastAsia="ar-SA"/>
              </w:rPr>
            </w:pPr>
            <w:r w:rsidRPr="00CD677D">
              <w:rPr>
                <w:b/>
                <w:bCs/>
                <w:color w:val="000000"/>
                <w:sz w:val="20"/>
                <w:szCs w:val="20"/>
              </w:rPr>
              <w:t>04</w:t>
            </w:r>
          </w:p>
        </w:tc>
        <w:tc>
          <w:tcPr>
            <w:tcW w:w="3402" w:type="dxa"/>
            <w:tcBorders>
              <w:top w:val="nil"/>
              <w:left w:val="single" w:sz="4" w:space="0" w:color="auto"/>
              <w:bottom w:val="single" w:sz="4" w:space="0" w:color="auto"/>
              <w:right w:val="single" w:sz="4" w:space="0" w:color="auto"/>
            </w:tcBorders>
            <w:vAlign w:val="center"/>
            <w:hideMark/>
          </w:tcPr>
          <w:p w:rsidR="00CD677D" w:rsidRPr="00CD677D" w:rsidRDefault="00CD677D" w:rsidP="00CD677D">
            <w:pPr>
              <w:rPr>
                <w:color w:val="000000"/>
                <w:lang w:val="uk-UA" w:eastAsia="uk-UA"/>
              </w:rPr>
            </w:pPr>
            <w:proofErr w:type="spellStart"/>
            <w:r w:rsidRPr="00CD677D">
              <w:rPr>
                <w:color w:val="000000"/>
                <w:lang w:val="uk-UA" w:eastAsia="uk-UA"/>
              </w:rPr>
              <w:t>соцзахист</w:t>
            </w:r>
            <w:proofErr w:type="spellEnd"/>
          </w:p>
        </w:tc>
        <w:tc>
          <w:tcPr>
            <w:tcW w:w="170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2486160,462</w:t>
            </w:r>
          </w:p>
        </w:tc>
        <w:tc>
          <w:tcPr>
            <w:tcW w:w="1843"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2445724,17</w:t>
            </w:r>
          </w:p>
        </w:tc>
        <w:tc>
          <w:tcPr>
            <w:tcW w:w="1414"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40 436,29</w:t>
            </w:r>
          </w:p>
        </w:tc>
        <w:tc>
          <w:tcPr>
            <w:tcW w:w="99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101,65</w:t>
            </w:r>
          </w:p>
        </w:tc>
      </w:tr>
      <w:tr w:rsidR="00CD677D" w:rsidRPr="00CD677D" w:rsidTr="00CD677D">
        <w:trPr>
          <w:trHeight w:val="477"/>
        </w:trPr>
        <w:tc>
          <w:tcPr>
            <w:tcW w:w="582" w:type="dxa"/>
            <w:tcBorders>
              <w:top w:val="nil"/>
              <w:left w:val="single" w:sz="4" w:space="0" w:color="auto"/>
              <w:bottom w:val="single" w:sz="4" w:space="0" w:color="auto"/>
              <w:right w:val="single" w:sz="4" w:space="0" w:color="auto"/>
            </w:tcBorders>
            <w:vAlign w:val="bottom"/>
            <w:hideMark/>
          </w:tcPr>
          <w:p w:rsidR="00CD677D" w:rsidRPr="00CD677D" w:rsidRDefault="00CD677D" w:rsidP="00CD677D">
            <w:pPr>
              <w:suppressAutoHyphens/>
              <w:rPr>
                <w:b/>
                <w:bCs/>
                <w:color w:val="000000"/>
                <w:sz w:val="20"/>
                <w:szCs w:val="20"/>
                <w:lang w:eastAsia="ar-SA"/>
              </w:rPr>
            </w:pPr>
            <w:r w:rsidRPr="00CD677D">
              <w:rPr>
                <w:b/>
                <w:bCs/>
                <w:color w:val="000000"/>
                <w:sz w:val="20"/>
                <w:szCs w:val="20"/>
              </w:rPr>
              <w:t>05</w:t>
            </w:r>
          </w:p>
        </w:tc>
        <w:tc>
          <w:tcPr>
            <w:tcW w:w="3402" w:type="dxa"/>
            <w:tcBorders>
              <w:top w:val="nil"/>
              <w:left w:val="single" w:sz="4" w:space="0" w:color="auto"/>
              <w:bottom w:val="single" w:sz="4" w:space="0" w:color="auto"/>
              <w:right w:val="single" w:sz="4" w:space="0" w:color="auto"/>
            </w:tcBorders>
            <w:vAlign w:val="center"/>
            <w:hideMark/>
          </w:tcPr>
          <w:p w:rsidR="00CD677D" w:rsidRPr="00CD677D" w:rsidRDefault="00CD677D" w:rsidP="00CD677D">
            <w:pPr>
              <w:rPr>
                <w:color w:val="000000"/>
                <w:lang w:val="uk-UA" w:eastAsia="uk-UA"/>
              </w:rPr>
            </w:pPr>
            <w:r w:rsidRPr="00CD677D">
              <w:rPr>
                <w:color w:val="000000"/>
                <w:lang w:val="uk-UA" w:eastAsia="uk-UA"/>
              </w:rPr>
              <w:t>державне управління, місцеве самоврядування</w:t>
            </w:r>
          </w:p>
        </w:tc>
        <w:tc>
          <w:tcPr>
            <w:tcW w:w="170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2776568,076</w:t>
            </w:r>
          </w:p>
        </w:tc>
        <w:tc>
          <w:tcPr>
            <w:tcW w:w="1843"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3187183,92</w:t>
            </w:r>
          </w:p>
        </w:tc>
        <w:tc>
          <w:tcPr>
            <w:tcW w:w="1414"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FF0000"/>
                <w:sz w:val="22"/>
                <w:szCs w:val="22"/>
              </w:rPr>
              <w:t>-410 615,84</w:t>
            </w:r>
          </w:p>
        </w:tc>
        <w:tc>
          <w:tcPr>
            <w:tcW w:w="99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87,12</w:t>
            </w:r>
          </w:p>
        </w:tc>
      </w:tr>
      <w:tr w:rsidR="00CD677D" w:rsidRPr="00CD677D" w:rsidTr="00CD677D">
        <w:trPr>
          <w:trHeight w:val="471"/>
        </w:trPr>
        <w:tc>
          <w:tcPr>
            <w:tcW w:w="582" w:type="dxa"/>
            <w:tcBorders>
              <w:top w:val="nil"/>
              <w:left w:val="single" w:sz="4" w:space="0" w:color="auto"/>
              <w:bottom w:val="single" w:sz="4" w:space="0" w:color="auto"/>
              <w:right w:val="single" w:sz="4" w:space="0" w:color="auto"/>
            </w:tcBorders>
            <w:vAlign w:val="bottom"/>
            <w:hideMark/>
          </w:tcPr>
          <w:p w:rsidR="00CD677D" w:rsidRPr="00CD677D" w:rsidRDefault="00CD677D" w:rsidP="00CD677D">
            <w:pPr>
              <w:suppressAutoHyphens/>
              <w:rPr>
                <w:b/>
                <w:bCs/>
                <w:color w:val="000000"/>
                <w:sz w:val="20"/>
                <w:szCs w:val="20"/>
                <w:lang w:eastAsia="ar-SA"/>
              </w:rPr>
            </w:pPr>
            <w:r w:rsidRPr="00CD677D">
              <w:rPr>
                <w:b/>
                <w:bCs/>
                <w:color w:val="000000"/>
                <w:sz w:val="20"/>
                <w:szCs w:val="20"/>
              </w:rPr>
              <w:t>06</w:t>
            </w:r>
          </w:p>
        </w:tc>
        <w:tc>
          <w:tcPr>
            <w:tcW w:w="3402" w:type="dxa"/>
            <w:tcBorders>
              <w:top w:val="nil"/>
              <w:left w:val="single" w:sz="4" w:space="0" w:color="auto"/>
              <w:bottom w:val="single" w:sz="4" w:space="0" w:color="auto"/>
              <w:right w:val="single" w:sz="4" w:space="0" w:color="auto"/>
            </w:tcBorders>
            <w:vAlign w:val="center"/>
            <w:hideMark/>
          </w:tcPr>
          <w:p w:rsidR="00CD677D" w:rsidRPr="00CD677D" w:rsidRDefault="00CD677D" w:rsidP="00CD677D">
            <w:pPr>
              <w:rPr>
                <w:color w:val="000000"/>
                <w:lang w:val="uk-UA" w:eastAsia="uk-UA"/>
              </w:rPr>
            </w:pPr>
            <w:r w:rsidRPr="00CD677D">
              <w:rPr>
                <w:color w:val="000000"/>
                <w:lang w:val="uk-UA" w:eastAsia="uk-UA"/>
              </w:rPr>
              <w:t>військові, правоохоронні органи, прокуратура, суд</w:t>
            </w:r>
          </w:p>
        </w:tc>
        <w:tc>
          <w:tcPr>
            <w:tcW w:w="170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7080210,384</w:t>
            </w:r>
          </w:p>
        </w:tc>
        <w:tc>
          <w:tcPr>
            <w:tcW w:w="1843"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7940950,06</w:t>
            </w:r>
          </w:p>
        </w:tc>
        <w:tc>
          <w:tcPr>
            <w:tcW w:w="1414"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FF0000"/>
                <w:sz w:val="22"/>
                <w:szCs w:val="22"/>
              </w:rPr>
              <w:t>-860 739,68</w:t>
            </w:r>
          </w:p>
        </w:tc>
        <w:tc>
          <w:tcPr>
            <w:tcW w:w="99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89,16</w:t>
            </w:r>
          </w:p>
        </w:tc>
      </w:tr>
      <w:tr w:rsidR="00CD677D" w:rsidRPr="00CD677D" w:rsidTr="00CD677D">
        <w:trPr>
          <w:trHeight w:val="479"/>
        </w:trPr>
        <w:tc>
          <w:tcPr>
            <w:tcW w:w="582" w:type="dxa"/>
            <w:tcBorders>
              <w:top w:val="nil"/>
              <w:left w:val="single" w:sz="4" w:space="0" w:color="auto"/>
              <w:bottom w:val="single" w:sz="4" w:space="0" w:color="auto"/>
              <w:right w:val="single" w:sz="4" w:space="0" w:color="auto"/>
            </w:tcBorders>
            <w:vAlign w:val="bottom"/>
            <w:hideMark/>
          </w:tcPr>
          <w:p w:rsidR="00CD677D" w:rsidRPr="00CD677D" w:rsidRDefault="00CD677D" w:rsidP="00CD677D">
            <w:pPr>
              <w:suppressAutoHyphens/>
              <w:rPr>
                <w:b/>
                <w:bCs/>
                <w:color w:val="000000"/>
                <w:sz w:val="20"/>
                <w:szCs w:val="20"/>
                <w:lang w:eastAsia="ar-SA"/>
              </w:rPr>
            </w:pPr>
            <w:r w:rsidRPr="00CD677D">
              <w:rPr>
                <w:b/>
                <w:bCs/>
                <w:color w:val="000000"/>
                <w:sz w:val="20"/>
                <w:szCs w:val="20"/>
              </w:rPr>
              <w:t> </w:t>
            </w:r>
          </w:p>
        </w:tc>
        <w:tc>
          <w:tcPr>
            <w:tcW w:w="3402" w:type="dxa"/>
            <w:tcBorders>
              <w:top w:val="nil"/>
              <w:left w:val="single" w:sz="4" w:space="0" w:color="auto"/>
              <w:bottom w:val="single" w:sz="4" w:space="0" w:color="auto"/>
              <w:right w:val="single" w:sz="4" w:space="0" w:color="auto"/>
            </w:tcBorders>
            <w:vAlign w:val="center"/>
            <w:hideMark/>
          </w:tcPr>
          <w:p w:rsidR="00CD677D" w:rsidRPr="00CD677D" w:rsidRDefault="00CD677D" w:rsidP="00CD677D">
            <w:pPr>
              <w:rPr>
                <w:b/>
                <w:bCs/>
                <w:color w:val="000000"/>
                <w:lang w:val="uk-UA" w:eastAsia="uk-UA"/>
              </w:rPr>
            </w:pPr>
            <w:r w:rsidRPr="00CD677D">
              <w:rPr>
                <w:b/>
                <w:bCs/>
                <w:color w:val="000000"/>
                <w:lang w:val="uk-UA" w:eastAsia="uk-UA"/>
              </w:rPr>
              <w:t>Бюджетна сфера: (O,P,Q,R)</w:t>
            </w:r>
          </w:p>
        </w:tc>
        <w:tc>
          <w:tcPr>
            <w:tcW w:w="170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b/>
                <w:bCs/>
                <w:color w:val="000000"/>
              </w:rPr>
            </w:pPr>
            <w:r w:rsidRPr="00CD677D">
              <w:rPr>
                <w:rFonts w:ascii="Calibri" w:hAnsi="Calibri" w:cs="Calibri"/>
                <w:b/>
                <w:bCs/>
                <w:color w:val="000000"/>
                <w:szCs w:val="20"/>
              </w:rPr>
              <w:t>29 235 350,51</w:t>
            </w:r>
          </w:p>
        </w:tc>
        <w:tc>
          <w:tcPr>
            <w:tcW w:w="1843"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b/>
                <w:bCs/>
                <w:color w:val="000000"/>
                <w:sz w:val="22"/>
                <w:szCs w:val="22"/>
              </w:rPr>
            </w:pPr>
            <w:r w:rsidRPr="00CD677D">
              <w:rPr>
                <w:rFonts w:ascii="Arial" w:hAnsi="Arial" w:cs="Arial"/>
                <w:b/>
                <w:bCs/>
                <w:color w:val="000000"/>
                <w:sz w:val="22"/>
                <w:szCs w:val="22"/>
              </w:rPr>
              <w:t>27510508,42</w:t>
            </w:r>
          </w:p>
        </w:tc>
        <w:tc>
          <w:tcPr>
            <w:tcW w:w="1414"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b/>
                <w:bCs/>
                <w:color w:val="000000"/>
                <w:sz w:val="22"/>
                <w:szCs w:val="22"/>
              </w:rPr>
            </w:pPr>
            <w:r w:rsidRPr="00CD677D">
              <w:rPr>
                <w:rFonts w:ascii="Calibri" w:hAnsi="Calibri" w:cs="Calibri"/>
                <w:b/>
                <w:bCs/>
                <w:color w:val="000000"/>
                <w:sz w:val="22"/>
                <w:szCs w:val="22"/>
              </w:rPr>
              <w:t>1 724 842,09</w:t>
            </w:r>
          </w:p>
        </w:tc>
        <w:tc>
          <w:tcPr>
            <w:tcW w:w="99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b/>
                <w:bCs/>
                <w:color w:val="000000"/>
                <w:sz w:val="22"/>
                <w:szCs w:val="22"/>
              </w:rPr>
            </w:pPr>
            <w:r w:rsidRPr="00CD677D">
              <w:rPr>
                <w:rFonts w:ascii="Calibri" w:hAnsi="Calibri" w:cs="Calibri"/>
                <w:b/>
                <w:bCs/>
                <w:color w:val="000000"/>
                <w:sz w:val="22"/>
                <w:szCs w:val="22"/>
              </w:rPr>
              <w:t>106,27</w:t>
            </w:r>
          </w:p>
        </w:tc>
      </w:tr>
      <w:tr w:rsidR="00CD677D" w:rsidRPr="00CD677D" w:rsidTr="00CD677D">
        <w:trPr>
          <w:trHeight w:val="278"/>
        </w:trPr>
        <w:tc>
          <w:tcPr>
            <w:tcW w:w="582" w:type="dxa"/>
            <w:tcBorders>
              <w:top w:val="nil"/>
              <w:left w:val="single" w:sz="4" w:space="0" w:color="auto"/>
              <w:bottom w:val="single" w:sz="4" w:space="0" w:color="auto"/>
              <w:right w:val="single" w:sz="4" w:space="0" w:color="auto"/>
            </w:tcBorders>
            <w:vAlign w:val="bottom"/>
            <w:hideMark/>
          </w:tcPr>
          <w:p w:rsidR="00CD677D" w:rsidRPr="00CD677D" w:rsidRDefault="00CD677D" w:rsidP="00CD677D">
            <w:pPr>
              <w:suppressAutoHyphens/>
              <w:rPr>
                <w:b/>
                <w:bCs/>
                <w:color w:val="000000"/>
                <w:sz w:val="20"/>
                <w:szCs w:val="20"/>
                <w:lang w:eastAsia="ar-SA"/>
              </w:rPr>
            </w:pPr>
            <w:r w:rsidRPr="00CD677D">
              <w:rPr>
                <w:b/>
                <w:bCs/>
                <w:color w:val="000000"/>
                <w:sz w:val="20"/>
                <w:szCs w:val="20"/>
              </w:rPr>
              <w:t>07</w:t>
            </w:r>
          </w:p>
        </w:tc>
        <w:tc>
          <w:tcPr>
            <w:tcW w:w="3402" w:type="dxa"/>
            <w:tcBorders>
              <w:top w:val="nil"/>
              <w:left w:val="single" w:sz="4" w:space="0" w:color="auto"/>
              <w:bottom w:val="single" w:sz="4" w:space="0" w:color="auto"/>
              <w:right w:val="single" w:sz="4" w:space="0" w:color="auto"/>
            </w:tcBorders>
            <w:vAlign w:val="center"/>
            <w:hideMark/>
          </w:tcPr>
          <w:p w:rsidR="00CD677D" w:rsidRPr="00CD677D" w:rsidRDefault="00CD677D" w:rsidP="00CD677D">
            <w:pPr>
              <w:rPr>
                <w:b/>
                <w:bCs/>
                <w:color w:val="000000"/>
                <w:lang w:val="uk-UA" w:eastAsia="uk-UA"/>
              </w:rPr>
            </w:pPr>
            <w:r w:rsidRPr="00CD677D">
              <w:rPr>
                <w:b/>
                <w:bCs/>
                <w:color w:val="000000"/>
                <w:lang w:val="uk-UA" w:eastAsia="uk-UA"/>
              </w:rPr>
              <w:t>Сільське господарство (A)</w:t>
            </w:r>
          </w:p>
        </w:tc>
        <w:tc>
          <w:tcPr>
            <w:tcW w:w="170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5076190,806</w:t>
            </w:r>
          </w:p>
        </w:tc>
        <w:tc>
          <w:tcPr>
            <w:tcW w:w="1843"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3624257,37</w:t>
            </w:r>
          </w:p>
        </w:tc>
        <w:tc>
          <w:tcPr>
            <w:tcW w:w="1414"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1 451 933,44</w:t>
            </w:r>
          </w:p>
        </w:tc>
        <w:tc>
          <w:tcPr>
            <w:tcW w:w="99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140,06</w:t>
            </w:r>
          </w:p>
        </w:tc>
      </w:tr>
      <w:tr w:rsidR="00CD677D" w:rsidRPr="00CD677D" w:rsidTr="00CD677D">
        <w:trPr>
          <w:trHeight w:val="357"/>
        </w:trPr>
        <w:tc>
          <w:tcPr>
            <w:tcW w:w="582" w:type="dxa"/>
            <w:tcBorders>
              <w:top w:val="nil"/>
              <w:left w:val="single" w:sz="4" w:space="0" w:color="auto"/>
              <w:bottom w:val="single" w:sz="4" w:space="0" w:color="auto"/>
              <w:right w:val="single" w:sz="4" w:space="0" w:color="auto"/>
            </w:tcBorders>
            <w:vAlign w:val="bottom"/>
            <w:hideMark/>
          </w:tcPr>
          <w:p w:rsidR="00CD677D" w:rsidRPr="00CD677D" w:rsidRDefault="00CD677D" w:rsidP="00CD677D">
            <w:pPr>
              <w:suppressAutoHyphens/>
              <w:rPr>
                <w:b/>
                <w:bCs/>
                <w:color w:val="000000"/>
                <w:sz w:val="20"/>
                <w:szCs w:val="20"/>
                <w:lang w:eastAsia="ar-SA"/>
              </w:rPr>
            </w:pPr>
            <w:r w:rsidRPr="00CD677D">
              <w:rPr>
                <w:b/>
                <w:bCs/>
                <w:color w:val="000000"/>
                <w:sz w:val="20"/>
                <w:szCs w:val="20"/>
              </w:rPr>
              <w:t>08</w:t>
            </w:r>
          </w:p>
        </w:tc>
        <w:tc>
          <w:tcPr>
            <w:tcW w:w="3402" w:type="dxa"/>
            <w:tcBorders>
              <w:top w:val="nil"/>
              <w:left w:val="single" w:sz="4" w:space="0" w:color="auto"/>
              <w:bottom w:val="single" w:sz="4" w:space="0" w:color="auto"/>
              <w:right w:val="single" w:sz="4" w:space="0" w:color="auto"/>
            </w:tcBorders>
            <w:vAlign w:val="center"/>
            <w:hideMark/>
          </w:tcPr>
          <w:p w:rsidR="00CD677D" w:rsidRPr="00CD677D" w:rsidRDefault="00CD677D" w:rsidP="00CD677D">
            <w:pPr>
              <w:rPr>
                <w:b/>
                <w:bCs/>
                <w:color w:val="000000"/>
                <w:lang w:val="uk-UA" w:eastAsia="uk-UA"/>
              </w:rPr>
            </w:pPr>
            <w:r w:rsidRPr="00CD677D">
              <w:rPr>
                <w:b/>
                <w:bCs/>
                <w:color w:val="000000"/>
                <w:lang w:val="uk-UA" w:eastAsia="uk-UA"/>
              </w:rPr>
              <w:t>Промисловість (B,C,D,E)</w:t>
            </w:r>
          </w:p>
        </w:tc>
        <w:tc>
          <w:tcPr>
            <w:tcW w:w="170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2260288,362</w:t>
            </w:r>
          </w:p>
        </w:tc>
        <w:tc>
          <w:tcPr>
            <w:tcW w:w="1843"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1747078,99</w:t>
            </w:r>
          </w:p>
        </w:tc>
        <w:tc>
          <w:tcPr>
            <w:tcW w:w="1414"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513 209,37</w:t>
            </w:r>
          </w:p>
        </w:tc>
        <w:tc>
          <w:tcPr>
            <w:tcW w:w="99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129,38</w:t>
            </w:r>
          </w:p>
        </w:tc>
      </w:tr>
      <w:tr w:rsidR="00CD677D" w:rsidRPr="00CD677D" w:rsidTr="00CD677D">
        <w:trPr>
          <w:trHeight w:val="409"/>
        </w:trPr>
        <w:tc>
          <w:tcPr>
            <w:tcW w:w="582" w:type="dxa"/>
            <w:tcBorders>
              <w:top w:val="nil"/>
              <w:left w:val="single" w:sz="4" w:space="0" w:color="auto"/>
              <w:bottom w:val="single" w:sz="4" w:space="0" w:color="auto"/>
              <w:right w:val="single" w:sz="4" w:space="0" w:color="auto"/>
            </w:tcBorders>
            <w:vAlign w:val="bottom"/>
            <w:hideMark/>
          </w:tcPr>
          <w:p w:rsidR="00CD677D" w:rsidRPr="00CD677D" w:rsidRDefault="00CD677D" w:rsidP="00CD677D">
            <w:pPr>
              <w:suppressAutoHyphens/>
              <w:rPr>
                <w:b/>
                <w:bCs/>
                <w:color w:val="000000"/>
                <w:sz w:val="20"/>
                <w:szCs w:val="20"/>
                <w:lang w:eastAsia="ar-SA"/>
              </w:rPr>
            </w:pPr>
            <w:r w:rsidRPr="00CD677D">
              <w:rPr>
                <w:b/>
                <w:bCs/>
                <w:color w:val="000000"/>
                <w:sz w:val="20"/>
                <w:szCs w:val="20"/>
              </w:rPr>
              <w:t>09</w:t>
            </w:r>
          </w:p>
        </w:tc>
        <w:tc>
          <w:tcPr>
            <w:tcW w:w="3402" w:type="dxa"/>
            <w:tcBorders>
              <w:top w:val="nil"/>
              <w:left w:val="single" w:sz="4" w:space="0" w:color="auto"/>
              <w:bottom w:val="single" w:sz="4" w:space="0" w:color="auto"/>
              <w:right w:val="single" w:sz="4" w:space="0" w:color="auto"/>
            </w:tcBorders>
            <w:vAlign w:val="center"/>
            <w:hideMark/>
          </w:tcPr>
          <w:p w:rsidR="00CD677D" w:rsidRPr="00CD677D" w:rsidRDefault="00CD677D" w:rsidP="00CD677D">
            <w:pPr>
              <w:rPr>
                <w:b/>
                <w:bCs/>
                <w:color w:val="000000"/>
                <w:lang w:val="uk-UA" w:eastAsia="uk-UA"/>
              </w:rPr>
            </w:pPr>
            <w:r w:rsidRPr="00CD677D">
              <w:rPr>
                <w:b/>
                <w:bCs/>
                <w:color w:val="000000"/>
                <w:lang w:val="uk-UA" w:eastAsia="uk-UA"/>
              </w:rPr>
              <w:t xml:space="preserve">Транспорт, </w:t>
            </w:r>
            <w:proofErr w:type="spellStart"/>
            <w:r w:rsidRPr="00CD677D">
              <w:rPr>
                <w:b/>
                <w:bCs/>
                <w:color w:val="000000"/>
                <w:lang w:val="uk-UA" w:eastAsia="uk-UA"/>
              </w:rPr>
              <w:t>зв</w:t>
            </w:r>
            <w:proofErr w:type="spellEnd"/>
            <w:r w:rsidRPr="00CD677D">
              <w:rPr>
                <w:b/>
                <w:bCs/>
                <w:color w:val="000000"/>
                <w:lang w:val="uk-UA" w:eastAsia="uk-UA"/>
              </w:rPr>
              <w:t>"</w:t>
            </w:r>
            <w:proofErr w:type="spellStart"/>
            <w:r w:rsidRPr="00CD677D">
              <w:rPr>
                <w:b/>
                <w:bCs/>
                <w:color w:val="000000"/>
                <w:lang w:val="uk-UA" w:eastAsia="uk-UA"/>
              </w:rPr>
              <w:t>язок</w:t>
            </w:r>
            <w:proofErr w:type="spellEnd"/>
            <w:r w:rsidRPr="00CD677D">
              <w:rPr>
                <w:b/>
                <w:bCs/>
                <w:color w:val="000000"/>
                <w:lang w:val="uk-UA" w:eastAsia="uk-UA"/>
              </w:rPr>
              <w:t xml:space="preserve"> (H)</w:t>
            </w:r>
          </w:p>
        </w:tc>
        <w:tc>
          <w:tcPr>
            <w:tcW w:w="170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3484764,858</w:t>
            </w:r>
          </w:p>
        </w:tc>
        <w:tc>
          <w:tcPr>
            <w:tcW w:w="1843"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3116683,12</w:t>
            </w:r>
          </w:p>
        </w:tc>
        <w:tc>
          <w:tcPr>
            <w:tcW w:w="1414"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368 081,74</w:t>
            </w:r>
          </w:p>
        </w:tc>
        <w:tc>
          <w:tcPr>
            <w:tcW w:w="99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111,81</w:t>
            </w:r>
          </w:p>
        </w:tc>
      </w:tr>
      <w:tr w:rsidR="00CD677D" w:rsidRPr="00CD677D" w:rsidTr="00CD677D">
        <w:trPr>
          <w:trHeight w:val="375"/>
        </w:trPr>
        <w:tc>
          <w:tcPr>
            <w:tcW w:w="582" w:type="dxa"/>
            <w:tcBorders>
              <w:top w:val="nil"/>
              <w:left w:val="single" w:sz="4" w:space="0" w:color="auto"/>
              <w:bottom w:val="single" w:sz="4" w:space="0" w:color="auto"/>
              <w:right w:val="single" w:sz="4" w:space="0" w:color="auto"/>
            </w:tcBorders>
            <w:vAlign w:val="bottom"/>
            <w:hideMark/>
          </w:tcPr>
          <w:p w:rsidR="00CD677D" w:rsidRPr="00CD677D" w:rsidRDefault="00CD677D" w:rsidP="00CD677D">
            <w:pPr>
              <w:suppressAutoHyphens/>
              <w:rPr>
                <w:b/>
                <w:bCs/>
                <w:color w:val="000000"/>
                <w:sz w:val="20"/>
                <w:szCs w:val="20"/>
                <w:lang w:eastAsia="ar-SA"/>
              </w:rPr>
            </w:pPr>
            <w:r w:rsidRPr="00CD677D">
              <w:rPr>
                <w:b/>
                <w:bCs/>
                <w:color w:val="000000"/>
                <w:sz w:val="20"/>
                <w:szCs w:val="20"/>
              </w:rPr>
              <w:t>10</w:t>
            </w:r>
          </w:p>
        </w:tc>
        <w:tc>
          <w:tcPr>
            <w:tcW w:w="3402" w:type="dxa"/>
            <w:tcBorders>
              <w:top w:val="nil"/>
              <w:left w:val="single" w:sz="4" w:space="0" w:color="auto"/>
              <w:bottom w:val="single" w:sz="4" w:space="0" w:color="auto"/>
              <w:right w:val="single" w:sz="4" w:space="0" w:color="auto"/>
            </w:tcBorders>
            <w:vAlign w:val="center"/>
            <w:hideMark/>
          </w:tcPr>
          <w:p w:rsidR="00CD677D" w:rsidRPr="00CD677D" w:rsidRDefault="00CD677D" w:rsidP="00CD677D">
            <w:pPr>
              <w:rPr>
                <w:b/>
                <w:bCs/>
                <w:color w:val="000000"/>
                <w:lang w:val="uk-UA" w:eastAsia="uk-UA"/>
              </w:rPr>
            </w:pPr>
            <w:r w:rsidRPr="00CD677D">
              <w:rPr>
                <w:b/>
                <w:bCs/>
                <w:color w:val="000000"/>
                <w:lang w:val="uk-UA" w:eastAsia="uk-UA"/>
              </w:rPr>
              <w:t>Торгівля (G,I)</w:t>
            </w:r>
          </w:p>
        </w:tc>
        <w:tc>
          <w:tcPr>
            <w:tcW w:w="170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2640069,954</w:t>
            </w:r>
          </w:p>
        </w:tc>
        <w:tc>
          <w:tcPr>
            <w:tcW w:w="1843"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1720109,43</w:t>
            </w:r>
          </w:p>
        </w:tc>
        <w:tc>
          <w:tcPr>
            <w:tcW w:w="1414"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919 960,52</w:t>
            </w:r>
          </w:p>
        </w:tc>
        <w:tc>
          <w:tcPr>
            <w:tcW w:w="99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153,48</w:t>
            </w:r>
          </w:p>
        </w:tc>
      </w:tr>
      <w:tr w:rsidR="00CD677D" w:rsidRPr="00CD677D" w:rsidTr="00CD677D">
        <w:trPr>
          <w:trHeight w:val="610"/>
        </w:trPr>
        <w:tc>
          <w:tcPr>
            <w:tcW w:w="582" w:type="dxa"/>
            <w:tcBorders>
              <w:top w:val="nil"/>
              <w:left w:val="single" w:sz="4" w:space="0" w:color="auto"/>
              <w:bottom w:val="single" w:sz="4" w:space="0" w:color="auto"/>
              <w:right w:val="single" w:sz="4" w:space="0" w:color="auto"/>
            </w:tcBorders>
            <w:vAlign w:val="bottom"/>
            <w:hideMark/>
          </w:tcPr>
          <w:p w:rsidR="00CD677D" w:rsidRPr="00CD677D" w:rsidRDefault="00CD677D" w:rsidP="00CD677D">
            <w:pPr>
              <w:suppressAutoHyphens/>
              <w:rPr>
                <w:b/>
                <w:bCs/>
                <w:color w:val="000000"/>
                <w:sz w:val="20"/>
                <w:szCs w:val="20"/>
                <w:lang w:eastAsia="ar-SA"/>
              </w:rPr>
            </w:pPr>
            <w:r w:rsidRPr="00CD677D">
              <w:rPr>
                <w:b/>
                <w:bCs/>
                <w:color w:val="000000"/>
                <w:sz w:val="20"/>
                <w:szCs w:val="20"/>
              </w:rPr>
              <w:t>11</w:t>
            </w:r>
          </w:p>
        </w:tc>
        <w:tc>
          <w:tcPr>
            <w:tcW w:w="3402" w:type="dxa"/>
            <w:tcBorders>
              <w:top w:val="nil"/>
              <w:left w:val="single" w:sz="4" w:space="0" w:color="auto"/>
              <w:bottom w:val="single" w:sz="4" w:space="0" w:color="auto"/>
              <w:right w:val="single" w:sz="4" w:space="0" w:color="auto"/>
            </w:tcBorders>
            <w:vAlign w:val="center"/>
            <w:hideMark/>
          </w:tcPr>
          <w:p w:rsidR="00CD677D" w:rsidRPr="00CD677D" w:rsidRDefault="00CD677D" w:rsidP="00CD677D">
            <w:pPr>
              <w:rPr>
                <w:b/>
                <w:bCs/>
                <w:color w:val="000000"/>
                <w:lang w:val="uk-UA" w:eastAsia="uk-UA"/>
              </w:rPr>
            </w:pPr>
            <w:r w:rsidRPr="00CD677D">
              <w:rPr>
                <w:b/>
                <w:bCs/>
                <w:color w:val="000000"/>
                <w:lang w:val="uk-UA" w:eastAsia="uk-UA"/>
              </w:rPr>
              <w:t xml:space="preserve">Фінансові установи  </w:t>
            </w:r>
            <w:r w:rsidRPr="00CD677D">
              <w:rPr>
                <w:color w:val="000000"/>
                <w:lang w:val="uk-UA" w:eastAsia="uk-UA"/>
              </w:rPr>
              <w:t>(банки, страхові установи) (K)</w:t>
            </w:r>
          </w:p>
        </w:tc>
        <w:tc>
          <w:tcPr>
            <w:tcW w:w="170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345211,896</w:t>
            </w:r>
          </w:p>
        </w:tc>
        <w:tc>
          <w:tcPr>
            <w:tcW w:w="1843"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397246,62</w:t>
            </w:r>
          </w:p>
        </w:tc>
        <w:tc>
          <w:tcPr>
            <w:tcW w:w="1414"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FF0000"/>
                <w:sz w:val="22"/>
                <w:szCs w:val="22"/>
              </w:rPr>
              <w:t>-52 034,72</w:t>
            </w:r>
          </w:p>
        </w:tc>
        <w:tc>
          <w:tcPr>
            <w:tcW w:w="99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86,90</w:t>
            </w:r>
          </w:p>
        </w:tc>
      </w:tr>
      <w:tr w:rsidR="00CD677D" w:rsidRPr="00CD677D" w:rsidTr="00CD677D">
        <w:trPr>
          <w:trHeight w:val="523"/>
        </w:trPr>
        <w:tc>
          <w:tcPr>
            <w:tcW w:w="582" w:type="dxa"/>
            <w:tcBorders>
              <w:top w:val="nil"/>
              <w:left w:val="single" w:sz="4" w:space="0" w:color="auto"/>
              <w:bottom w:val="single" w:sz="4" w:space="0" w:color="auto"/>
              <w:right w:val="single" w:sz="4" w:space="0" w:color="auto"/>
            </w:tcBorders>
            <w:vAlign w:val="bottom"/>
            <w:hideMark/>
          </w:tcPr>
          <w:p w:rsidR="00CD677D" w:rsidRPr="00CD677D" w:rsidRDefault="00CD677D" w:rsidP="00CD677D">
            <w:pPr>
              <w:suppressAutoHyphens/>
              <w:rPr>
                <w:b/>
                <w:bCs/>
                <w:color w:val="000000"/>
                <w:sz w:val="20"/>
                <w:szCs w:val="20"/>
                <w:lang w:eastAsia="ar-SA"/>
              </w:rPr>
            </w:pPr>
            <w:r w:rsidRPr="00CD677D">
              <w:rPr>
                <w:b/>
                <w:bCs/>
                <w:color w:val="000000"/>
                <w:sz w:val="20"/>
                <w:szCs w:val="20"/>
              </w:rPr>
              <w:t>12</w:t>
            </w:r>
          </w:p>
        </w:tc>
        <w:tc>
          <w:tcPr>
            <w:tcW w:w="3402" w:type="dxa"/>
            <w:tcBorders>
              <w:top w:val="nil"/>
              <w:left w:val="single" w:sz="4" w:space="0" w:color="auto"/>
              <w:bottom w:val="single" w:sz="4" w:space="0" w:color="auto"/>
              <w:right w:val="single" w:sz="4" w:space="0" w:color="auto"/>
            </w:tcBorders>
            <w:vAlign w:val="center"/>
            <w:hideMark/>
          </w:tcPr>
          <w:p w:rsidR="00CD677D" w:rsidRPr="00CD677D" w:rsidRDefault="00CD677D" w:rsidP="00CD677D">
            <w:pPr>
              <w:rPr>
                <w:b/>
                <w:bCs/>
                <w:color w:val="000000"/>
                <w:lang w:val="uk-UA" w:eastAsia="uk-UA"/>
              </w:rPr>
            </w:pPr>
            <w:proofErr w:type="spellStart"/>
            <w:r w:rsidRPr="00CD677D">
              <w:rPr>
                <w:b/>
                <w:bCs/>
                <w:color w:val="000000"/>
                <w:lang w:val="uk-UA" w:eastAsia="uk-UA"/>
              </w:rPr>
              <w:t>Суб</w:t>
            </w:r>
            <w:proofErr w:type="spellEnd"/>
            <w:r w:rsidRPr="00CD677D">
              <w:rPr>
                <w:b/>
                <w:bCs/>
                <w:color w:val="000000"/>
                <w:lang w:val="uk-UA" w:eastAsia="uk-UA"/>
              </w:rPr>
              <w:t>"</w:t>
            </w:r>
            <w:proofErr w:type="spellStart"/>
            <w:r w:rsidRPr="00CD677D">
              <w:rPr>
                <w:b/>
                <w:bCs/>
                <w:color w:val="000000"/>
                <w:lang w:val="uk-UA" w:eastAsia="uk-UA"/>
              </w:rPr>
              <w:t>єкти</w:t>
            </w:r>
            <w:proofErr w:type="spellEnd"/>
            <w:r w:rsidRPr="00CD677D">
              <w:rPr>
                <w:b/>
                <w:bCs/>
                <w:color w:val="000000"/>
                <w:lang w:val="uk-UA" w:eastAsia="uk-UA"/>
              </w:rPr>
              <w:t xml:space="preserve"> підприємництва (J,M,N,S,T)</w:t>
            </w:r>
          </w:p>
        </w:tc>
        <w:tc>
          <w:tcPr>
            <w:tcW w:w="170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1256919,054</w:t>
            </w:r>
          </w:p>
        </w:tc>
        <w:tc>
          <w:tcPr>
            <w:tcW w:w="1843"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1061629,16</w:t>
            </w:r>
          </w:p>
        </w:tc>
        <w:tc>
          <w:tcPr>
            <w:tcW w:w="1414"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195 289,89</w:t>
            </w:r>
          </w:p>
        </w:tc>
        <w:tc>
          <w:tcPr>
            <w:tcW w:w="99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118,40</w:t>
            </w:r>
          </w:p>
        </w:tc>
      </w:tr>
      <w:tr w:rsidR="00CD677D" w:rsidRPr="00CD677D" w:rsidTr="00CD677D">
        <w:trPr>
          <w:trHeight w:val="375"/>
        </w:trPr>
        <w:tc>
          <w:tcPr>
            <w:tcW w:w="582" w:type="dxa"/>
            <w:tcBorders>
              <w:top w:val="nil"/>
              <w:left w:val="single" w:sz="4" w:space="0" w:color="auto"/>
              <w:bottom w:val="single" w:sz="4" w:space="0" w:color="auto"/>
              <w:right w:val="single" w:sz="4" w:space="0" w:color="auto"/>
            </w:tcBorders>
            <w:vAlign w:val="bottom"/>
            <w:hideMark/>
          </w:tcPr>
          <w:p w:rsidR="00CD677D" w:rsidRPr="00CD677D" w:rsidRDefault="00CD677D" w:rsidP="00CD677D">
            <w:pPr>
              <w:suppressAutoHyphens/>
              <w:rPr>
                <w:b/>
                <w:bCs/>
                <w:color w:val="000000"/>
                <w:sz w:val="20"/>
                <w:szCs w:val="20"/>
                <w:lang w:eastAsia="ar-SA"/>
              </w:rPr>
            </w:pPr>
            <w:r w:rsidRPr="00CD677D">
              <w:rPr>
                <w:b/>
                <w:bCs/>
                <w:color w:val="000000"/>
                <w:sz w:val="20"/>
                <w:szCs w:val="20"/>
              </w:rPr>
              <w:t>13</w:t>
            </w:r>
          </w:p>
        </w:tc>
        <w:tc>
          <w:tcPr>
            <w:tcW w:w="3402" w:type="dxa"/>
            <w:tcBorders>
              <w:top w:val="nil"/>
              <w:left w:val="single" w:sz="4" w:space="0" w:color="auto"/>
              <w:bottom w:val="single" w:sz="4" w:space="0" w:color="auto"/>
              <w:right w:val="single" w:sz="4" w:space="0" w:color="auto"/>
            </w:tcBorders>
            <w:vAlign w:val="center"/>
            <w:hideMark/>
          </w:tcPr>
          <w:p w:rsidR="00CD677D" w:rsidRPr="00CD677D" w:rsidRDefault="00CD677D" w:rsidP="00CD677D">
            <w:pPr>
              <w:rPr>
                <w:b/>
                <w:bCs/>
                <w:color w:val="000000"/>
                <w:lang w:val="uk-UA" w:eastAsia="uk-UA"/>
              </w:rPr>
            </w:pPr>
            <w:proofErr w:type="spellStart"/>
            <w:r w:rsidRPr="00CD677D">
              <w:rPr>
                <w:b/>
                <w:bCs/>
                <w:color w:val="000000"/>
                <w:lang w:val="uk-UA" w:eastAsia="uk-UA"/>
              </w:rPr>
              <w:t>Будвництво</w:t>
            </w:r>
            <w:proofErr w:type="spellEnd"/>
            <w:r w:rsidRPr="00CD677D">
              <w:rPr>
                <w:b/>
                <w:bCs/>
                <w:color w:val="000000"/>
                <w:lang w:val="uk-UA" w:eastAsia="uk-UA"/>
              </w:rPr>
              <w:t xml:space="preserve"> (F)</w:t>
            </w:r>
          </w:p>
        </w:tc>
        <w:tc>
          <w:tcPr>
            <w:tcW w:w="170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531194,538</w:t>
            </w:r>
          </w:p>
        </w:tc>
        <w:tc>
          <w:tcPr>
            <w:tcW w:w="1843"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341366,12</w:t>
            </w:r>
          </w:p>
        </w:tc>
        <w:tc>
          <w:tcPr>
            <w:tcW w:w="1414"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189 828,42</w:t>
            </w:r>
          </w:p>
        </w:tc>
        <w:tc>
          <w:tcPr>
            <w:tcW w:w="99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155,61</w:t>
            </w:r>
          </w:p>
        </w:tc>
      </w:tr>
      <w:tr w:rsidR="00CD677D" w:rsidRPr="00CD677D" w:rsidTr="00CD677D">
        <w:trPr>
          <w:trHeight w:val="265"/>
        </w:trPr>
        <w:tc>
          <w:tcPr>
            <w:tcW w:w="582" w:type="dxa"/>
            <w:tcBorders>
              <w:top w:val="nil"/>
              <w:left w:val="single" w:sz="4" w:space="0" w:color="auto"/>
              <w:bottom w:val="single" w:sz="4" w:space="0" w:color="auto"/>
              <w:right w:val="single" w:sz="4" w:space="0" w:color="auto"/>
            </w:tcBorders>
            <w:vAlign w:val="bottom"/>
            <w:hideMark/>
          </w:tcPr>
          <w:p w:rsidR="00CD677D" w:rsidRPr="00CD677D" w:rsidRDefault="00CD677D" w:rsidP="00CD677D">
            <w:pPr>
              <w:suppressAutoHyphens/>
              <w:rPr>
                <w:b/>
                <w:bCs/>
                <w:color w:val="000000"/>
                <w:sz w:val="20"/>
                <w:szCs w:val="20"/>
                <w:lang w:eastAsia="ar-SA"/>
              </w:rPr>
            </w:pPr>
            <w:r w:rsidRPr="00CD677D">
              <w:rPr>
                <w:b/>
                <w:bCs/>
                <w:color w:val="000000"/>
                <w:sz w:val="20"/>
                <w:szCs w:val="20"/>
              </w:rPr>
              <w:t>14</w:t>
            </w:r>
          </w:p>
        </w:tc>
        <w:tc>
          <w:tcPr>
            <w:tcW w:w="3402" w:type="dxa"/>
            <w:tcBorders>
              <w:top w:val="nil"/>
              <w:left w:val="single" w:sz="4" w:space="0" w:color="auto"/>
              <w:bottom w:val="single" w:sz="4" w:space="0" w:color="auto"/>
              <w:right w:val="single" w:sz="4" w:space="0" w:color="auto"/>
            </w:tcBorders>
            <w:vAlign w:val="center"/>
            <w:hideMark/>
          </w:tcPr>
          <w:p w:rsidR="00CD677D" w:rsidRPr="00CD677D" w:rsidRDefault="00CD677D" w:rsidP="00CD677D">
            <w:pPr>
              <w:rPr>
                <w:b/>
                <w:bCs/>
                <w:color w:val="000000"/>
                <w:lang w:val="uk-UA" w:eastAsia="uk-UA"/>
              </w:rPr>
            </w:pPr>
            <w:r w:rsidRPr="00CD677D">
              <w:rPr>
                <w:b/>
                <w:bCs/>
                <w:color w:val="000000"/>
                <w:lang w:val="uk-UA" w:eastAsia="uk-UA"/>
              </w:rPr>
              <w:t>Інші ( L,U)</w:t>
            </w:r>
          </w:p>
        </w:tc>
        <w:tc>
          <w:tcPr>
            <w:tcW w:w="170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151678,062</w:t>
            </w:r>
          </w:p>
        </w:tc>
        <w:tc>
          <w:tcPr>
            <w:tcW w:w="1843"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Arial" w:hAnsi="Arial" w:cs="Arial"/>
                <w:color w:val="000000"/>
                <w:sz w:val="22"/>
                <w:szCs w:val="22"/>
              </w:rPr>
            </w:pPr>
            <w:r w:rsidRPr="00CD677D">
              <w:rPr>
                <w:rFonts w:ascii="Arial" w:hAnsi="Arial" w:cs="Arial"/>
                <w:color w:val="000000"/>
                <w:sz w:val="22"/>
                <w:szCs w:val="22"/>
              </w:rPr>
              <w:t>173504,27</w:t>
            </w:r>
          </w:p>
        </w:tc>
        <w:tc>
          <w:tcPr>
            <w:tcW w:w="1414"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FF0000"/>
                <w:sz w:val="22"/>
                <w:szCs w:val="22"/>
              </w:rPr>
              <w:t>-21 826,21</w:t>
            </w:r>
          </w:p>
        </w:tc>
        <w:tc>
          <w:tcPr>
            <w:tcW w:w="99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color w:val="000000"/>
                <w:sz w:val="22"/>
                <w:szCs w:val="22"/>
              </w:rPr>
            </w:pPr>
            <w:r w:rsidRPr="00CD677D">
              <w:rPr>
                <w:rFonts w:ascii="Calibri" w:hAnsi="Calibri" w:cs="Calibri"/>
                <w:color w:val="000000"/>
                <w:sz w:val="22"/>
                <w:szCs w:val="22"/>
              </w:rPr>
              <w:t>87,42</w:t>
            </w:r>
          </w:p>
        </w:tc>
      </w:tr>
      <w:tr w:rsidR="00CD677D" w:rsidRPr="00CD677D" w:rsidTr="00CD677D">
        <w:trPr>
          <w:trHeight w:val="553"/>
        </w:trPr>
        <w:tc>
          <w:tcPr>
            <w:tcW w:w="582" w:type="dxa"/>
            <w:tcBorders>
              <w:top w:val="single" w:sz="4" w:space="0" w:color="auto"/>
              <w:left w:val="single" w:sz="4" w:space="0" w:color="auto"/>
              <w:bottom w:val="single" w:sz="4" w:space="0" w:color="auto"/>
              <w:right w:val="single" w:sz="4" w:space="0" w:color="auto"/>
            </w:tcBorders>
          </w:tcPr>
          <w:p w:rsidR="00CD677D" w:rsidRPr="00CD677D" w:rsidRDefault="00CD677D" w:rsidP="00CD677D">
            <w:pPr>
              <w:rPr>
                <w:b/>
                <w:bCs/>
                <w:color w:val="000000"/>
                <w:sz w:val="28"/>
                <w:szCs w:val="28"/>
                <w:lang w:val="uk-UA" w:eastAsia="uk-UA"/>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CD677D" w:rsidRPr="00CD677D" w:rsidRDefault="00CD677D" w:rsidP="00CD677D">
            <w:pPr>
              <w:rPr>
                <w:b/>
                <w:bCs/>
                <w:color w:val="000000"/>
                <w:lang w:val="uk-UA" w:eastAsia="uk-UA"/>
              </w:rPr>
            </w:pPr>
            <w:r w:rsidRPr="00CD677D">
              <w:rPr>
                <w:b/>
                <w:bCs/>
                <w:color w:val="000000"/>
                <w:lang w:val="uk-UA" w:eastAsia="uk-UA"/>
              </w:rPr>
              <w:t>Всього доходів  ПДФО місцевого бюджету</w:t>
            </w:r>
          </w:p>
        </w:tc>
        <w:tc>
          <w:tcPr>
            <w:tcW w:w="170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b/>
                <w:bCs/>
                <w:color w:val="000000"/>
                <w:sz w:val="22"/>
                <w:szCs w:val="22"/>
              </w:rPr>
            </w:pPr>
            <w:r w:rsidRPr="00CD677D">
              <w:rPr>
                <w:rFonts w:ascii="Calibri" w:hAnsi="Calibri" w:cs="Calibri"/>
                <w:b/>
                <w:bCs/>
                <w:color w:val="000000"/>
                <w:sz w:val="22"/>
                <w:szCs w:val="22"/>
              </w:rPr>
              <w:t>44 981 668,04</w:t>
            </w:r>
          </w:p>
        </w:tc>
        <w:tc>
          <w:tcPr>
            <w:tcW w:w="1843" w:type="dxa"/>
            <w:tcBorders>
              <w:top w:val="nil"/>
              <w:left w:val="nil"/>
              <w:bottom w:val="single" w:sz="4" w:space="0" w:color="auto"/>
              <w:right w:val="single" w:sz="4" w:space="0" w:color="auto"/>
            </w:tcBorders>
            <w:shd w:val="clear" w:color="auto" w:fill="CCFFFF"/>
            <w:noWrap/>
            <w:vAlign w:val="center"/>
            <w:hideMark/>
          </w:tcPr>
          <w:p w:rsidR="00CD677D" w:rsidRPr="00CD677D" w:rsidRDefault="00CD677D" w:rsidP="00CD677D">
            <w:pPr>
              <w:jc w:val="center"/>
              <w:rPr>
                <w:rFonts w:ascii="Calibri" w:hAnsi="Calibri" w:cs="Calibri"/>
                <w:b/>
                <w:bCs/>
                <w:color w:val="000000"/>
                <w:sz w:val="22"/>
                <w:szCs w:val="22"/>
              </w:rPr>
            </w:pPr>
            <w:r w:rsidRPr="00CD677D">
              <w:rPr>
                <w:rFonts w:ascii="Calibri" w:hAnsi="Calibri" w:cs="Calibri"/>
                <w:b/>
                <w:bCs/>
                <w:color w:val="000000"/>
                <w:sz w:val="22"/>
                <w:szCs w:val="22"/>
              </w:rPr>
              <w:t>39692383,5</w:t>
            </w:r>
          </w:p>
        </w:tc>
        <w:tc>
          <w:tcPr>
            <w:tcW w:w="1414"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b/>
                <w:bCs/>
                <w:color w:val="000000"/>
                <w:sz w:val="22"/>
                <w:szCs w:val="22"/>
              </w:rPr>
            </w:pPr>
            <w:r w:rsidRPr="00CD677D">
              <w:rPr>
                <w:rFonts w:ascii="Calibri" w:hAnsi="Calibri" w:cs="Calibri"/>
                <w:b/>
                <w:bCs/>
                <w:color w:val="000000"/>
                <w:sz w:val="22"/>
                <w:szCs w:val="22"/>
              </w:rPr>
              <w:t>5 289 284,54</w:t>
            </w:r>
          </w:p>
        </w:tc>
        <w:tc>
          <w:tcPr>
            <w:tcW w:w="991" w:type="dxa"/>
            <w:tcBorders>
              <w:top w:val="nil"/>
              <w:left w:val="nil"/>
              <w:bottom w:val="single" w:sz="4" w:space="0" w:color="auto"/>
              <w:right w:val="single" w:sz="4" w:space="0" w:color="auto"/>
            </w:tcBorders>
            <w:noWrap/>
            <w:vAlign w:val="center"/>
            <w:hideMark/>
          </w:tcPr>
          <w:p w:rsidR="00CD677D" w:rsidRPr="00CD677D" w:rsidRDefault="00CD677D" w:rsidP="00CD677D">
            <w:pPr>
              <w:jc w:val="center"/>
              <w:rPr>
                <w:rFonts w:ascii="Calibri" w:hAnsi="Calibri" w:cs="Calibri"/>
                <w:b/>
                <w:bCs/>
                <w:color w:val="000000"/>
                <w:sz w:val="22"/>
                <w:szCs w:val="22"/>
              </w:rPr>
            </w:pPr>
            <w:r w:rsidRPr="00CD677D">
              <w:rPr>
                <w:rFonts w:ascii="Calibri" w:hAnsi="Calibri" w:cs="Calibri"/>
                <w:b/>
                <w:bCs/>
                <w:color w:val="000000"/>
                <w:sz w:val="22"/>
                <w:szCs w:val="22"/>
              </w:rPr>
              <w:t>113,33</w:t>
            </w:r>
          </w:p>
        </w:tc>
      </w:tr>
    </w:tbl>
    <w:p w:rsidR="00CD677D" w:rsidRPr="000E0BF0" w:rsidRDefault="00CD677D" w:rsidP="00CD677D">
      <w:pPr>
        <w:jc w:val="both"/>
        <w:rPr>
          <w:highlight w:val="yellow"/>
          <w:lang w:val="uk-UA" w:eastAsia="ar-SA"/>
        </w:rPr>
      </w:pPr>
    </w:p>
    <w:p w:rsidR="00CD677D" w:rsidRPr="000E0BF0" w:rsidRDefault="000E0BF0" w:rsidP="000E0BF0">
      <w:pPr>
        <w:shd w:val="clear" w:color="auto" w:fill="FFFFFF"/>
        <w:tabs>
          <w:tab w:val="left" w:pos="709"/>
          <w:tab w:val="left" w:pos="5380"/>
        </w:tabs>
        <w:jc w:val="both"/>
        <w:rPr>
          <w:lang w:val="uk-UA"/>
        </w:rPr>
      </w:pPr>
      <w:r>
        <w:rPr>
          <w:sz w:val="28"/>
          <w:szCs w:val="28"/>
          <w:lang w:val="uk-UA"/>
        </w:rPr>
        <w:t xml:space="preserve">          -</w:t>
      </w:r>
      <w:r w:rsidR="00CD677D" w:rsidRPr="00CD677D">
        <w:rPr>
          <w:sz w:val="28"/>
          <w:szCs w:val="28"/>
          <w:lang w:val="uk-UA"/>
        </w:rPr>
        <w:t xml:space="preserve"> Податок на прибуток підприємств комунальної власності – 100,1%, (сплачено за результатами фінансової діяльності за 2020 -2021 роки) при плані 17,7 тис.</w:t>
      </w:r>
      <w:r>
        <w:rPr>
          <w:sz w:val="28"/>
          <w:szCs w:val="28"/>
          <w:lang w:val="uk-UA"/>
        </w:rPr>
        <w:t xml:space="preserve"> </w:t>
      </w:r>
      <w:r w:rsidR="00CD677D" w:rsidRPr="00CD677D">
        <w:rPr>
          <w:sz w:val="28"/>
          <w:szCs w:val="28"/>
          <w:lang w:val="uk-UA"/>
        </w:rPr>
        <w:t xml:space="preserve">грн., факт 17,7 тис. грн., темп росту – 85,8%. </w:t>
      </w:r>
      <w:r w:rsidR="00CD677D" w:rsidRPr="000E0BF0">
        <w:rPr>
          <w:lang w:val="uk-UA"/>
        </w:rPr>
        <w:t>(</w:t>
      </w:r>
      <w:proofErr w:type="spellStart"/>
      <w:r w:rsidR="00CD677D" w:rsidRPr="000E0BF0">
        <w:rPr>
          <w:lang w:val="uk-UA"/>
        </w:rPr>
        <w:t>Довідково</w:t>
      </w:r>
      <w:proofErr w:type="spellEnd"/>
      <w:r w:rsidR="00CD677D" w:rsidRPr="000E0BF0">
        <w:rPr>
          <w:lang w:val="uk-UA"/>
        </w:rPr>
        <w:t xml:space="preserve">: у 2020 році помилково зараховані  кошти  від КП АРР «Редакція газети «Вісті </w:t>
      </w:r>
      <w:proofErr w:type="spellStart"/>
      <w:r w:rsidR="00CD677D" w:rsidRPr="000E0BF0">
        <w:rPr>
          <w:lang w:val="uk-UA"/>
        </w:rPr>
        <w:t>Ананьївщини</w:t>
      </w:r>
      <w:proofErr w:type="spellEnd"/>
      <w:r w:rsidR="00CD677D" w:rsidRPr="000E0BF0">
        <w:rPr>
          <w:lang w:val="uk-UA"/>
        </w:rPr>
        <w:t>»);</w:t>
      </w:r>
    </w:p>
    <w:p w:rsidR="00CD677D" w:rsidRPr="00CD677D" w:rsidRDefault="00CD677D" w:rsidP="000B5A6D">
      <w:pPr>
        <w:shd w:val="clear" w:color="auto" w:fill="FFFFFF"/>
        <w:tabs>
          <w:tab w:val="left" w:pos="5380"/>
        </w:tabs>
        <w:jc w:val="both"/>
        <w:rPr>
          <w:i/>
          <w:sz w:val="28"/>
          <w:szCs w:val="28"/>
          <w:lang w:val="uk-UA"/>
        </w:rPr>
      </w:pPr>
      <w:r w:rsidRPr="00CD677D">
        <w:rPr>
          <w:sz w:val="28"/>
          <w:szCs w:val="28"/>
          <w:lang w:val="uk-UA"/>
        </w:rPr>
        <w:t xml:space="preserve">  </w:t>
      </w:r>
      <w:r w:rsidR="000E0BF0">
        <w:rPr>
          <w:sz w:val="28"/>
          <w:szCs w:val="28"/>
          <w:lang w:val="uk-UA"/>
        </w:rPr>
        <w:t xml:space="preserve">          -</w:t>
      </w:r>
      <w:r w:rsidRPr="00CD677D">
        <w:rPr>
          <w:sz w:val="28"/>
          <w:szCs w:val="28"/>
          <w:lang w:val="uk-UA"/>
        </w:rPr>
        <w:t xml:space="preserve"> Рентна плата за використання природних ресурсів виконання – 130,4% при плані 36,0 тис. грн., факт 47,0 тис. грн.  Темп росту до мин</w:t>
      </w:r>
      <w:r w:rsidR="00587DA8">
        <w:rPr>
          <w:sz w:val="28"/>
          <w:szCs w:val="28"/>
          <w:lang w:val="uk-UA"/>
        </w:rPr>
        <w:t xml:space="preserve">улого року склав 66,7%; або на </w:t>
      </w:r>
      <w:r w:rsidRPr="00CD677D">
        <w:rPr>
          <w:sz w:val="28"/>
          <w:szCs w:val="28"/>
          <w:lang w:val="uk-UA"/>
        </w:rPr>
        <w:t xml:space="preserve">23,4 тис. грн., менше </w:t>
      </w:r>
      <w:r w:rsidRPr="000E0BF0">
        <w:rPr>
          <w:lang w:val="uk-UA"/>
        </w:rPr>
        <w:t>(</w:t>
      </w:r>
      <w:proofErr w:type="spellStart"/>
      <w:r w:rsidRPr="000E0BF0">
        <w:rPr>
          <w:lang w:val="uk-UA"/>
        </w:rPr>
        <w:t>Довідково</w:t>
      </w:r>
      <w:proofErr w:type="spellEnd"/>
      <w:r w:rsidRPr="000E0BF0">
        <w:rPr>
          <w:lang w:val="uk-UA"/>
        </w:rPr>
        <w:t>: це пов'язано зі зменшенням вирубки  лісових  ресурсів по ДП «Ананьївський лісгосп» та зняття по висновкам ДПІ_повернення помилково зарахованих коштів).</w:t>
      </w:r>
    </w:p>
    <w:p w:rsidR="00CD677D" w:rsidRPr="00CD677D" w:rsidRDefault="00CD677D" w:rsidP="00CD677D">
      <w:pPr>
        <w:shd w:val="clear" w:color="auto" w:fill="FFFFFF"/>
        <w:tabs>
          <w:tab w:val="left" w:pos="5380"/>
        </w:tabs>
        <w:jc w:val="both"/>
        <w:rPr>
          <w:sz w:val="28"/>
          <w:szCs w:val="28"/>
          <w:lang w:val="uk-UA"/>
        </w:rPr>
      </w:pPr>
      <w:r w:rsidRPr="00CD677D">
        <w:rPr>
          <w:sz w:val="28"/>
          <w:szCs w:val="28"/>
          <w:lang w:val="uk-UA"/>
        </w:rPr>
        <w:t xml:space="preserve">     </w:t>
      </w:r>
      <w:r w:rsidR="000E0BF0">
        <w:rPr>
          <w:sz w:val="28"/>
          <w:szCs w:val="28"/>
          <w:lang w:val="uk-UA"/>
        </w:rPr>
        <w:t xml:space="preserve">     - Податок на нерухоме майно -</w:t>
      </w:r>
      <w:r w:rsidRPr="00CD677D">
        <w:rPr>
          <w:sz w:val="28"/>
          <w:szCs w:val="28"/>
          <w:lang w:val="uk-UA"/>
        </w:rPr>
        <w:t xml:space="preserve"> 104,1%  при плані 1006,2 тис.</w:t>
      </w:r>
      <w:r w:rsidR="000E0BF0">
        <w:rPr>
          <w:sz w:val="28"/>
          <w:szCs w:val="28"/>
          <w:lang w:val="uk-UA"/>
        </w:rPr>
        <w:t xml:space="preserve"> </w:t>
      </w:r>
      <w:r w:rsidR="00587DA8">
        <w:rPr>
          <w:sz w:val="28"/>
          <w:szCs w:val="28"/>
          <w:lang w:val="uk-UA"/>
        </w:rPr>
        <w:t xml:space="preserve">грн., </w:t>
      </w:r>
      <w:r w:rsidRPr="00CD677D">
        <w:rPr>
          <w:sz w:val="28"/>
          <w:szCs w:val="28"/>
          <w:lang w:val="uk-UA"/>
        </w:rPr>
        <w:t>факт 1047,4 тис.</w:t>
      </w:r>
      <w:r w:rsidR="00587DA8">
        <w:rPr>
          <w:sz w:val="28"/>
          <w:szCs w:val="28"/>
          <w:lang w:val="uk-UA"/>
        </w:rPr>
        <w:t xml:space="preserve"> грн.</w:t>
      </w:r>
      <w:r w:rsidRPr="00CD677D">
        <w:rPr>
          <w:sz w:val="28"/>
          <w:szCs w:val="28"/>
          <w:lang w:val="uk-UA"/>
        </w:rPr>
        <w:t>, а</w:t>
      </w:r>
      <w:r w:rsidR="00587DA8">
        <w:rPr>
          <w:sz w:val="28"/>
          <w:szCs w:val="28"/>
          <w:lang w:val="uk-UA"/>
        </w:rPr>
        <w:t xml:space="preserve">бо на </w:t>
      </w:r>
      <w:r w:rsidRPr="00CD677D">
        <w:rPr>
          <w:sz w:val="28"/>
          <w:szCs w:val="28"/>
          <w:lang w:val="uk-UA"/>
        </w:rPr>
        <w:t>41,2 тис.</w:t>
      </w:r>
      <w:r w:rsidR="000E0BF0">
        <w:rPr>
          <w:sz w:val="28"/>
          <w:szCs w:val="28"/>
          <w:lang w:val="uk-UA"/>
        </w:rPr>
        <w:t xml:space="preserve"> </w:t>
      </w:r>
      <w:r w:rsidR="00587DA8">
        <w:rPr>
          <w:sz w:val="28"/>
          <w:szCs w:val="28"/>
          <w:lang w:val="uk-UA"/>
        </w:rPr>
        <w:t xml:space="preserve">грн. більше, темп росту до минулого року </w:t>
      </w:r>
      <w:r w:rsidRPr="00CD677D">
        <w:rPr>
          <w:sz w:val="28"/>
          <w:szCs w:val="28"/>
          <w:lang w:val="uk-UA"/>
        </w:rPr>
        <w:t xml:space="preserve">205,6% </w:t>
      </w:r>
      <w:r w:rsidRPr="000E0BF0">
        <w:rPr>
          <w:lang w:val="uk-UA"/>
        </w:rPr>
        <w:t>(</w:t>
      </w:r>
      <w:proofErr w:type="spellStart"/>
      <w:r w:rsidRPr="000E0BF0">
        <w:rPr>
          <w:lang w:val="uk-UA"/>
        </w:rPr>
        <w:t>Довідково</w:t>
      </w:r>
      <w:proofErr w:type="spellEnd"/>
      <w:r w:rsidRPr="000E0BF0">
        <w:rPr>
          <w:lang w:val="uk-UA"/>
        </w:rPr>
        <w:t>: збільшення у два рази від надходжень податку на нерухоме майно, відмінне від земельної ділянки, сплачений фізичними особами, які є власниками об`єктів нежитлової нерухомості, але є  зменшення надходжень  по ДП «</w:t>
      </w:r>
      <w:proofErr w:type="spellStart"/>
      <w:r w:rsidRPr="000E0BF0">
        <w:rPr>
          <w:lang w:val="uk-UA"/>
        </w:rPr>
        <w:t>Укртрансгаз</w:t>
      </w:r>
      <w:proofErr w:type="spellEnd"/>
      <w:r w:rsidRPr="000E0BF0">
        <w:rPr>
          <w:lang w:val="uk-UA"/>
        </w:rPr>
        <w:t>», які не є власниками нерухомого майна, повернуто за висновком ДПІ);</w:t>
      </w:r>
      <w:r w:rsidRPr="00CD677D">
        <w:rPr>
          <w:sz w:val="28"/>
          <w:szCs w:val="28"/>
          <w:lang w:val="uk-UA"/>
        </w:rPr>
        <w:t xml:space="preserve"> </w:t>
      </w:r>
    </w:p>
    <w:p w:rsidR="00CD677D" w:rsidRPr="000E0BF0" w:rsidRDefault="00CD677D" w:rsidP="00CD677D">
      <w:pPr>
        <w:shd w:val="clear" w:color="auto" w:fill="FFFFFF"/>
        <w:tabs>
          <w:tab w:val="left" w:pos="5380"/>
        </w:tabs>
        <w:jc w:val="both"/>
        <w:rPr>
          <w:highlight w:val="yellow"/>
          <w:lang w:val="uk-UA"/>
        </w:rPr>
      </w:pPr>
    </w:p>
    <w:p w:rsidR="00CD677D" w:rsidRPr="00CD677D" w:rsidRDefault="00CD677D" w:rsidP="00CD677D">
      <w:pPr>
        <w:shd w:val="clear" w:color="auto" w:fill="FFFFFF"/>
        <w:tabs>
          <w:tab w:val="left" w:pos="5380"/>
        </w:tabs>
        <w:jc w:val="both"/>
        <w:rPr>
          <w:i/>
          <w:sz w:val="28"/>
          <w:szCs w:val="28"/>
          <w:highlight w:val="yellow"/>
          <w:lang w:val="uk-UA"/>
        </w:rPr>
      </w:pPr>
      <w:r w:rsidRPr="00CD677D">
        <w:rPr>
          <w:sz w:val="28"/>
          <w:szCs w:val="28"/>
          <w:lang w:val="uk-UA"/>
        </w:rPr>
        <w:lastRenderedPageBreak/>
        <w:t xml:space="preserve">     </w:t>
      </w:r>
      <w:r w:rsidR="000E0BF0">
        <w:rPr>
          <w:sz w:val="28"/>
          <w:szCs w:val="28"/>
          <w:lang w:val="uk-UA"/>
        </w:rPr>
        <w:t xml:space="preserve">    </w:t>
      </w:r>
      <w:r w:rsidRPr="00CD677D">
        <w:rPr>
          <w:sz w:val="28"/>
          <w:szCs w:val="28"/>
          <w:lang w:val="uk-UA"/>
        </w:rPr>
        <w:t>- Податок на землю (земельний податок та орендна плата з юридичних та фізичних осіб) – 103,9% при плані 14 079,1 тис.</w:t>
      </w:r>
      <w:r w:rsidR="000E0BF0">
        <w:rPr>
          <w:sz w:val="28"/>
          <w:szCs w:val="28"/>
          <w:lang w:val="uk-UA"/>
        </w:rPr>
        <w:t xml:space="preserve"> </w:t>
      </w:r>
      <w:r w:rsidRPr="00CD677D">
        <w:rPr>
          <w:sz w:val="28"/>
          <w:szCs w:val="28"/>
          <w:lang w:val="uk-UA"/>
        </w:rPr>
        <w:t>грн., факт 14 626,8 тис.</w:t>
      </w:r>
      <w:r w:rsidR="000E0BF0">
        <w:rPr>
          <w:sz w:val="28"/>
          <w:szCs w:val="28"/>
          <w:lang w:val="uk-UA"/>
        </w:rPr>
        <w:t xml:space="preserve"> грн.</w:t>
      </w:r>
      <w:r w:rsidR="00587DA8">
        <w:rPr>
          <w:sz w:val="28"/>
          <w:szCs w:val="28"/>
          <w:lang w:val="uk-UA"/>
        </w:rPr>
        <w:t xml:space="preserve">, або на </w:t>
      </w:r>
      <w:r w:rsidRPr="00CD677D">
        <w:rPr>
          <w:sz w:val="28"/>
          <w:szCs w:val="28"/>
          <w:lang w:val="uk-UA"/>
        </w:rPr>
        <w:t>547,7 тис.</w:t>
      </w:r>
      <w:r w:rsidR="000E0BF0">
        <w:rPr>
          <w:sz w:val="28"/>
          <w:szCs w:val="28"/>
          <w:lang w:val="uk-UA"/>
        </w:rPr>
        <w:t xml:space="preserve"> </w:t>
      </w:r>
      <w:r w:rsidRPr="00CD677D">
        <w:rPr>
          <w:sz w:val="28"/>
          <w:szCs w:val="28"/>
          <w:lang w:val="uk-UA"/>
        </w:rPr>
        <w:t>грн</w:t>
      </w:r>
      <w:r w:rsidR="000E0BF0">
        <w:rPr>
          <w:sz w:val="28"/>
          <w:szCs w:val="28"/>
          <w:lang w:val="uk-UA"/>
        </w:rPr>
        <w:t>.</w:t>
      </w:r>
      <w:r w:rsidR="00587DA8">
        <w:rPr>
          <w:sz w:val="28"/>
          <w:szCs w:val="28"/>
          <w:lang w:val="uk-UA"/>
        </w:rPr>
        <w:t xml:space="preserve">, більше, </w:t>
      </w:r>
      <w:r w:rsidRPr="00CD677D">
        <w:rPr>
          <w:sz w:val="28"/>
          <w:szCs w:val="28"/>
          <w:lang w:val="uk-UA"/>
        </w:rPr>
        <w:t xml:space="preserve">темп </w:t>
      </w:r>
      <w:r w:rsidR="00587DA8">
        <w:rPr>
          <w:sz w:val="28"/>
          <w:szCs w:val="28"/>
          <w:lang w:val="uk-UA"/>
        </w:rPr>
        <w:t xml:space="preserve">росту до минулого року складає 91,6%, або </w:t>
      </w:r>
      <w:r w:rsidRPr="00CD677D">
        <w:rPr>
          <w:sz w:val="28"/>
          <w:szCs w:val="28"/>
          <w:lang w:val="uk-UA"/>
        </w:rPr>
        <w:t>на 1337,0 тис.</w:t>
      </w:r>
      <w:r w:rsidR="000E0BF0">
        <w:rPr>
          <w:sz w:val="28"/>
          <w:szCs w:val="28"/>
          <w:lang w:val="uk-UA"/>
        </w:rPr>
        <w:t xml:space="preserve"> </w:t>
      </w:r>
      <w:r w:rsidR="00587DA8">
        <w:rPr>
          <w:sz w:val="28"/>
          <w:szCs w:val="28"/>
          <w:lang w:val="uk-UA"/>
        </w:rPr>
        <w:t xml:space="preserve">грн., </w:t>
      </w:r>
      <w:r w:rsidRPr="00CD677D">
        <w:rPr>
          <w:sz w:val="28"/>
          <w:szCs w:val="28"/>
          <w:lang w:val="uk-UA"/>
        </w:rPr>
        <w:t>менше</w:t>
      </w:r>
      <w:r w:rsidR="00587DA8">
        <w:rPr>
          <w:sz w:val="28"/>
          <w:szCs w:val="28"/>
          <w:lang w:val="uk-UA"/>
        </w:rPr>
        <w:t>.</w:t>
      </w:r>
      <w:r w:rsidR="00587DA8">
        <w:rPr>
          <w:lang w:val="uk-UA"/>
        </w:rPr>
        <w:t xml:space="preserve"> (</w:t>
      </w:r>
      <w:proofErr w:type="spellStart"/>
      <w:r w:rsidR="00587DA8">
        <w:rPr>
          <w:lang w:val="uk-UA"/>
        </w:rPr>
        <w:t>Довідково</w:t>
      </w:r>
      <w:proofErr w:type="spellEnd"/>
      <w:r w:rsidR="00587DA8">
        <w:rPr>
          <w:lang w:val="uk-UA"/>
        </w:rPr>
        <w:t xml:space="preserve">: </w:t>
      </w:r>
      <w:r w:rsidRPr="000E0BF0">
        <w:rPr>
          <w:lang w:val="uk-UA"/>
        </w:rPr>
        <w:t xml:space="preserve">негативно вплинули фактори оформлення земельних ділянок - перехід сплати з оренди землі на земельний податок. Зменшення надходжень по </w:t>
      </w:r>
      <w:proofErr w:type="spellStart"/>
      <w:r w:rsidRPr="000E0BF0">
        <w:rPr>
          <w:lang w:val="uk-UA"/>
        </w:rPr>
        <w:t>фіз.особам</w:t>
      </w:r>
      <w:proofErr w:type="spellEnd"/>
      <w:r w:rsidRPr="000E0BF0">
        <w:rPr>
          <w:lang w:val="uk-UA"/>
        </w:rPr>
        <w:t xml:space="preserve"> внаслідок збільшення площі </w:t>
      </w:r>
      <w:proofErr w:type="spellStart"/>
      <w:r w:rsidRPr="000E0BF0">
        <w:rPr>
          <w:lang w:val="uk-UA"/>
        </w:rPr>
        <w:t>зем</w:t>
      </w:r>
      <w:proofErr w:type="spellEnd"/>
      <w:r w:rsidRPr="000E0BF0">
        <w:rPr>
          <w:lang w:val="uk-UA"/>
        </w:rPr>
        <w:t>.</w:t>
      </w:r>
      <w:r w:rsidR="00587DA8">
        <w:rPr>
          <w:lang w:val="uk-UA"/>
        </w:rPr>
        <w:t xml:space="preserve"> </w:t>
      </w:r>
      <w:r w:rsidRPr="000E0BF0">
        <w:rPr>
          <w:lang w:val="uk-UA"/>
        </w:rPr>
        <w:t xml:space="preserve">ділянок наданих в оренду платникам єдиного податку 4 групи (збільшення </w:t>
      </w:r>
      <w:proofErr w:type="spellStart"/>
      <w:r w:rsidRPr="000E0BF0">
        <w:rPr>
          <w:lang w:val="uk-UA"/>
        </w:rPr>
        <w:t>єд.под</w:t>
      </w:r>
      <w:proofErr w:type="spellEnd"/>
      <w:r w:rsidRPr="000E0BF0">
        <w:rPr>
          <w:lang w:val="uk-UA"/>
        </w:rPr>
        <w:t xml:space="preserve">. </w:t>
      </w:r>
      <w:proofErr w:type="spellStart"/>
      <w:r w:rsidRPr="000E0BF0">
        <w:rPr>
          <w:lang w:val="uk-UA"/>
        </w:rPr>
        <w:t>с.г</w:t>
      </w:r>
      <w:proofErr w:type="spellEnd"/>
      <w:r w:rsidRPr="000E0BF0">
        <w:rPr>
          <w:lang w:val="uk-UA"/>
        </w:rPr>
        <w:t xml:space="preserve">. </w:t>
      </w:r>
      <w:proofErr w:type="spellStart"/>
      <w:r w:rsidRPr="000E0BF0">
        <w:rPr>
          <w:lang w:val="uk-UA"/>
        </w:rPr>
        <w:t>вироб</w:t>
      </w:r>
      <w:proofErr w:type="spellEnd"/>
      <w:r w:rsidRPr="000E0BF0">
        <w:rPr>
          <w:lang w:val="uk-UA"/>
        </w:rPr>
        <w:t xml:space="preserve">.) По земельного податку з фізичних осіб - за даними нарахувань податкової інспекції на 2021 рік та фактичними надходженнями від земельного податку з фізичних осіб за 2020 рік - значно відрізняються у меншу сторону. Орендна плата з </w:t>
      </w:r>
      <w:proofErr w:type="spellStart"/>
      <w:r w:rsidRPr="000E0BF0">
        <w:rPr>
          <w:lang w:val="uk-UA"/>
        </w:rPr>
        <w:t>юр.ос</w:t>
      </w:r>
      <w:proofErr w:type="spellEnd"/>
      <w:r w:rsidRPr="000E0BF0">
        <w:rPr>
          <w:lang w:val="uk-UA"/>
        </w:rPr>
        <w:t xml:space="preserve">. - ТОВ "БРІЗ СОЛАР" -  надходження у 2021 р. відсутні, недоїмка (податковий борг) станом на 01.12.2021 р. – 1018,5 </w:t>
      </w:r>
      <w:proofErr w:type="spellStart"/>
      <w:r w:rsidRPr="000E0BF0">
        <w:rPr>
          <w:lang w:val="uk-UA"/>
        </w:rPr>
        <w:t>тис.грн</w:t>
      </w:r>
      <w:proofErr w:type="spellEnd"/>
      <w:r w:rsidRPr="000E0BF0">
        <w:rPr>
          <w:lang w:val="uk-UA"/>
        </w:rPr>
        <w:t>.). Документи передані до суду.</w:t>
      </w:r>
      <w:r w:rsidRPr="00CD677D">
        <w:rPr>
          <w:i/>
          <w:sz w:val="28"/>
          <w:szCs w:val="28"/>
          <w:lang w:val="uk-UA"/>
        </w:rPr>
        <w:t xml:space="preserve"> </w:t>
      </w:r>
    </w:p>
    <w:p w:rsidR="00CD677D" w:rsidRPr="000E0BF0" w:rsidRDefault="000E0BF0" w:rsidP="000E0BF0">
      <w:pPr>
        <w:shd w:val="clear" w:color="auto" w:fill="FFFFFF"/>
        <w:tabs>
          <w:tab w:val="left" w:pos="709"/>
          <w:tab w:val="left" w:pos="5380"/>
        </w:tabs>
        <w:jc w:val="both"/>
        <w:rPr>
          <w:lang w:val="uk-UA" w:eastAsia="ar-SA"/>
        </w:rPr>
      </w:pPr>
      <w:r>
        <w:rPr>
          <w:sz w:val="28"/>
          <w:szCs w:val="28"/>
          <w:lang w:val="uk-UA"/>
        </w:rPr>
        <w:t xml:space="preserve">          -</w:t>
      </w:r>
      <w:r w:rsidR="00CD677D" w:rsidRPr="00CD677D">
        <w:rPr>
          <w:sz w:val="28"/>
          <w:szCs w:val="28"/>
          <w:lang w:val="uk-UA"/>
        </w:rPr>
        <w:t xml:space="preserve"> Єдиний податок – 105,2% при плані 18 677,3 тис. грн., факт 1</w:t>
      </w:r>
      <w:r w:rsidR="00587DA8">
        <w:rPr>
          <w:sz w:val="28"/>
          <w:szCs w:val="28"/>
          <w:lang w:val="uk-UA"/>
        </w:rPr>
        <w:t>9 656,7 тис. грн., або на 979,4</w:t>
      </w:r>
      <w:r w:rsidR="00CD677D" w:rsidRPr="00CD677D">
        <w:rPr>
          <w:sz w:val="28"/>
          <w:szCs w:val="28"/>
          <w:lang w:val="uk-UA"/>
        </w:rPr>
        <w:t xml:space="preserve"> тис. грн. більше , темп росту до минулого року – 125,0%, в т.ч. єдиний податок з сільськогосподарських товаровиробни</w:t>
      </w:r>
      <w:r w:rsidR="00587DA8">
        <w:rPr>
          <w:sz w:val="28"/>
          <w:szCs w:val="28"/>
          <w:lang w:val="uk-UA"/>
        </w:rPr>
        <w:t>ків темп росту до минулого року</w:t>
      </w:r>
      <w:r w:rsidR="00CD677D" w:rsidRPr="00CD677D">
        <w:rPr>
          <w:sz w:val="28"/>
          <w:szCs w:val="28"/>
          <w:lang w:val="uk-UA"/>
        </w:rPr>
        <w:t xml:space="preserve"> - 126,8% або на 2300,7 тис. грн. більше. (за рахунок сплати податку за 4-й квартал 2020 року у січні 2021 року). </w:t>
      </w:r>
      <w:r w:rsidR="00CD677D" w:rsidRPr="000E0BF0">
        <w:rPr>
          <w:lang w:val="uk-UA"/>
        </w:rPr>
        <w:t>(</w:t>
      </w:r>
      <w:proofErr w:type="spellStart"/>
      <w:r w:rsidR="00CD677D" w:rsidRPr="000E0BF0">
        <w:rPr>
          <w:lang w:val="uk-UA"/>
        </w:rPr>
        <w:t>Довідково</w:t>
      </w:r>
      <w:proofErr w:type="spellEnd"/>
      <w:r w:rsidR="00CD677D" w:rsidRPr="000E0BF0">
        <w:rPr>
          <w:lang w:val="uk-UA"/>
        </w:rPr>
        <w:t>: однак були фактори які вплинули на зменшення надходжень єдиного податку від ФОП 1 групи, звільнені від сплати єдиного податку з грудня 2020 року по травень 2021 року(включно) – передбачено </w:t>
      </w:r>
      <w:hyperlink r:id="rId12" w:anchor="Text" w:history="1">
        <w:r w:rsidR="00CD677D" w:rsidRPr="000E0BF0">
          <w:rPr>
            <w:rFonts w:eastAsia="Calibri"/>
            <w:color w:val="0000FF"/>
            <w:u w:val="single"/>
            <w:lang w:val="uk-UA"/>
          </w:rPr>
          <w:t>Законом України від 04.12.2020 р. № 1072-ІХ</w:t>
        </w:r>
      </w:hyperlink>
      <w:r w:rsidR="00CD677D" w:rsidRPr="000E0BF0">
        <w:rPr>
          <w:lang w:val="uk-UA"/>
        </w:rPr>
        <w:t xml:space="preserve">. -  </w:t>
      </w:r>
      <w:r w:rsidR="00CD677D" w:rsidRPr="000E0BF0">
        <w:rPr>
          <w:u w:val="single"/>
          <w:lang w:val="uk-UA"/>
        </w:rPr>
        <w:t>втрати</w:t>
      </w:r>
      <w:r w:rsidR="00CD677D" w:rsidRPr="000E0BF0">
        <w:rPr>
          <w:lang w:val="uk-UA"/>
        </w:rPr>
        <w:t xml:space="preserve"> до кінця року складуть в сумі близько 82,2 тис.</w:t>
      </w:r>
      <w:r>
        <w:rPr>
          <w:lang w:val="uk-UA"/>
        </w:rPr>
        <w:t xml:space="preserve"> </w:t>
      </w:r>
      <w:r w:rsidR="00CD677D" w:rsidRPr="000E0BF0">
        <w:rPr>
          <w:lang w:val="uk-UA"/>
        </w:rPr>
        <w:t xml:space="preserve">грн.); </w:t>
      </w:r>
    </w:p>
    <w:p w:rsidR="00CD677D" w:rsidRPr="00CD677D" w:rsidRDefault="000E0BF0" w:rsidP="000B5A6D">
      <w:pPr>
        <w:jc w:val="both"/>
        <w:rPr>
          <w:sz w:val="28"/>
          <w:szCs w:val="28"/>
          <w:lang w:val="uk-UA"/>
        </w:rPr>
      </w:pPr>
      <w:r>
        <w:rPr>
          <w:sz w:val="28"/>
          <w:szCs w:val="28"/>
          <w:lang w:val="uk-UA"/>
        </w:rPr>
        <w:t xml:space="preserve">         -</w:t>
      </w:r>
      <w:r w:rsidR="00587DA8">
        <w:rPr>
          <w:sz w:val="28"/>
          <w:szCs w:val="28"/>
          <w:lang w:val="uk-UA"/>
        </w:rPr>
        <w:t xml:space="preserve"> Державне мито</w:t>
      </w:r>
      <w:r w:rsidR="00CD677D" w:rsidRPr="00CD677D">
        <w:rPr>
          <w:sz w:val="28"/>
          <w:szCs w:val="28"/>
          <w:lang w:val="uk-UA"/>
        </w:rPr>
        <w:t xml:space="preserve"> вико</w:t>
      </w:r>
      <w:r w:rsidR="00587DA8">
        <w:rPr>
          <w:sz w:val="28"/>
          <w:szCs w:val="28"/>
          <w:lang w:val="uk-UA"/>
        </w:rPr>
        <w:t>нано</w:t>
      </w:r>
      <w:r w:rsidR="00CD677D" w:rsidRPr="00CD677D">
        <w:rPr>
          <w:sz w:val="28"/>
          <w:szCs w:val="28"/>
          <w:lang w:val="uk-UA"/>
        </w:rPr>
        <w:t xml:space="preserve"> на 111,1% при плані 163,3 тис.</w:t>
      </w:r>
      <w:r w:rsidR="000C0C57">
        <w:rPr>
          <w:sz w:val="28"/>
          <w:szCs w:val="28"/>
          <w:lang w:val="uk-UA"/>
        </w:rPr>
        <w:t xml:space="preserve"> </w:t>
      </w:r>
      <w:r w:rsidR="00587DA8">
        <w:rPr>
          <w:sz w:val="28"/>
          <w:szCs w:val="28"/>
          <w:lang w:val="uk-UA"/>
        </w:rPr>
        <w:t xml:space="preserve">грн., факт 181,4 </w:t>
      </w:r>
      <w:proofErr w:type="spellStart"/>
      <w:r w:rsidR="00587DA8">
        <w:rPr>
          <w:sz w:val="28"/>
          <w:szCs w:val="28"/>
          <w:lang w:val="uk-UA"/>
        </w:rPr>
        <w:t>тис.грн</w:t>
      </w:r>
      <w:proofErr w:type="spellEnd"/>
      <w:r w:rsidR="00587DA8">
        <w:rPr>
          <w:sz w:val="28"/>
          <w:szCs w:val="28"/>
          <w:lang w:val="uk-UA"/>
        </w:rPr>
        <w:t>.,</w:t>
      </w:r>
      <w:r w:rsidR="00CD677D" w:rsidRPr="00CD677D">
        <w:rPr>
          <w:sz w:val="28"/>
          <w:szCs w:val="28"/>
          <w:lang w:val="uk-UA"/>
        </w:rPr>
        <w:t xml:space="preserve"> або на 18,1 тис. грн. більше, темп росту до минулого року – 137,3%. (За рахунок проведених нотаріальних дій);</w:t>
      </w:r>
    </w:p>
    <w:p w:rsidR="00CD677D" w:rsidRPr="000E0BF0" w:rsidRDefault="000E0BF0" w:rsidP="00CD677D">
      <w:pPr>
        <w:shd w:val="clear" w:color="auto" w:fill="FFFFFF"/>
        <w:tabs>
          <w:tab w:val="left" w:pos="5380"/>
        </w:tabs>
        <w:jc w:val="both"/>
        <w:rPr>
          <w:lang w:val="uk-UA"/>
        </w:rPr>
      </w:pPr>
      <w:r>
        <w:rPr>
          <w:sz w:val="28"/>
          <w:szCs w:val="28"/>
          <w:lang w:val="uk-UA"/>
        </w:rPr>
        <w:t xml:space="preserve">          - </w:t>
      </w:r>
      <w:r w:rsidR="00CD677D" w:rsidRPr="000E0BF0">
        <w:rPr>
          <w:sz w:val="28"/>
          <w:szCs w:val="28"/>
          <w:lang w:val="uk-UA"/>
        </w:rPr>
        <w:t xml:space="preserve">Частина чистого прибутку (доходу) комунальних унітарних підприємств та їх об`єднань, що вилучається до відповідного місцевого бюджету надійшло  100,0%  при плані 4,8 </w:t>
      </w:r>
      <w:proofErr w:type="spellStart"/>
      <w:r w:rsidR="00CD677D" w:rsidRPr="000E0BF0">
        <w:rPr>
          <w:sz w:val="28"/>
          <w:szCs w:val="28"/>
          <w:lang w:val="uk-UA"/>
        </w:rPr>
        <w:t>тис.грн</w:t>
      </w:r>
      <w:proofErr w:type="spellEnd"/>
      <w:r w:rsidR="00CD677D" w:rsidRPr="000E0BF0">
        <w:rPr>
          <w:sz w:val="28"/>
          <w:szCs w:val="28"/>
          <w:lang w:val="uk-UA"/>
        </w:rPr>
        <w:t>, факт 4,8 тис. грн. Темп росту до минулого року – 66,1%, або на 2,5 тис.</w:t>
      </w:r>
      <w:r>
        <w:rPr>
          <w:sz w:val="28"/>
          <w:szCs w:val="28"/>
          <w:lang w:val="uk-UA"/>
        </w:rPr>
        <w:t xml:space="preserve"> </w:t>
      </w:r>
      <w:r w:rsidR="00CD677D" w:rsidRPr="000E0BF0">
        <w:rPr>
          <w:sz w:val="28"/>
          <w:szCs w:val="28"/>
          <w:lang w:val="uk-UA"/>
        </w:rPr>
        <w:t>грн. менше.</w:t>
      </w:r>
      <w:r w:rsidR="00CD677D" w:rsidRPr="00CD677D">
        <w:rPr>
          <w:sz w:val="28"/>
          <w:szCs w:val="28"/>
          <w:lang w:val="uk-UA"/>
        </w:rPr>
        <w:t xml:space="preserve"> </w:t>
      </w:r>
      <w:r w:rsidR="00CD677D" w:rsidRPr="000E0BF0">
        <w:rPr>
          <w:lang w:val="uk-UA"/>
        </w:rPr>
        <w:t>(</w:t>
      </w:r>
      <w:proofErr w:type="spellStart"/>
      <w:r w:rsidR="00CD677D" w:rsidRPr="000E0BF0">
        <w:rPr>
          <w:lang w:val="uk-UA"/>
        </w:rPr>
        <w:t>Довідково</w:t>
      </w:r>
      <w:proofErr w:type="spellEnd"/>
      <w:r w:rsidR="00CD677D" w:rsidRPr="000E0BF0">
        <w:rPr>
          <w:lang w:val="uk-UA"/>
        </w:rPr>
        <w:t xml:space="preserve">: 3 платника. КП «Місто-сервіс», КП «Ананьївська друкарня», </w:t>
      </w:r>
      <w:proofErr w:type="spellStart"/>
      <w:r w:rsidR="00CD677D" w:rsidRPr="000E0BF0">
        <w:rPr>
          <w:lang w:val="uk-UA"/>
        </w:rPr>
        <w:t>Ананьївське</w:t>
      </w:r>
      <w:proofErr w:type="spellEnd"/>
      <w:r w:rsidR="00CD677D" w:rsidRPr="000E0BF0">
        <w:rPr>
          <w:lang w:val="uk-UA"/>
        </w:rPr>
        <w:t xml:space="preserve"> МБТІ. Зменшення надходжень від частини чистого прибутку по </w:t>
      </w:r>
      <w:proofErr w:type="spellStart"/>
      <w:r w:rsidR="00CD677D" w:rsidRPr="000E0BF0">
        <w:rPr>
          <w:lang w:val="uk-UA"/>
        </w:rPr>
        <w:t>Ананьївське</w:t>
      </w:r>
      <w:proofErr w:type="spellEnd"/>
      <w:r w:rsidR="00CD677D" w:rsidRPr="000E0BF0">
        <w:rPr>
          <w:lang w:val="uk-UA"/>
        </w:rPr>
        <w:t xml:space="preserve"> МБТІ на 3,0 тис.</w:t>
      </w:r>
      <w:r>
        <w:rPr>
          <w:lang w:val="uk-UA"/>
        </w:rPr>
        <w:t xml:space="preserve"> </w:t>
      </w:r>
      <w:r w:rsidR="00CD677D" w:rsidRPr="000E0BF0">
        <w:rPr>
          <w:lang w:val="uk-UA"/>
        </w:rPr>
        <w:t xml:space="preserve">грн.) </w:t>
      </w:r>
    </w:p>
    <w:p w:rsidR="00CD677D" w:rsidRPr="000E0BF0" w:rsidRDefault="00CD677D" w:rsidP="000E0BF0">
      <w:pPr>
        <w:shd w:val="clear" w:color="auto" w:fill="FFFFFF"/>
        <w:tabs>
          <w:tab w:val="left" w:pos="709"/>
          <w:tab w:val="left" w:pos="5380"/>
        </w:tabs>
        <w:jc w:val="both"/>
        <w:rPr>
          <w:lang w:val="uk-UA"/>
        </w:rPr>
      </w:pPr>
      <w:r w:rsidRPr="00CD677D">
        <w:rPr>
          <w:sz w:val="28"/>
          <w:szCs w:val="28"/>
          <w:lang w:val="uk-UA"/>
        </w:rPr>
        <w:t xml:space="preserve">       </w:t>
      </w:r>
      <w:r w:rsidR="000E0BF0">
        <w:rPr>
          <w:sz w:val="28"/>
          <w:szCs w:val="28"/>
          <w:lang w:val="uk-UA"/>
        </w:rPr>
        <w:t xml:space="preserve">   </w:t>
      </w:r>
      <w:r w:rsidRPr="00CD677D">
        <w:rPr>
          <w:sz w:val="28"/>
          <w:szCs w:val="28"/>
          <w:lang w:val="uk-UA"/>
        </w:rPr>
        <w:t>- Надходження від орендної плати за користування цілісним майновим комплексом та іншим майном, що пе</w:t>
      </w:r>
      <w:r w:rsidR="00587DA8">
        <w:rPr>
          <w:sz w:val="28"/>
          <w:szCs w:val="28"/>
          <w:lang w:val="uk-UA"/>
        </w:rPr>
        <w:t xml:space="preserve">ребуває в комунальній власності надійшло 100,0% </w:t>
      </w:r>
      <w:r w:rsidRPr="00CD677D">
        <w:rPr>
          <w:sz w:val="28"/>
          <w:szCs w:val="28"/>
          <w:lang w:val="uk-UA"/>
        </w:rPr>
        <w:t>при плані 161,9 тис.</w:t>
      </w:r>
      <w:r w:rsidR="000E0BF0">
        <w:rPr>
          <w:sz w:val="28"/>
          <w:szCs w:val="28"/>
          <w:lang w:val="uk-UA"/>
        </w:rPr>
        <w:t xml:space="preserve"> грн.</w:t>
      </w:r>
      <w:r w:rsidRPr="00CD677D">
        <w:rPr>
          <w:sz w:val="28"/>
          <w:szCs w:val="28"/>
          <w:lang w:val="uk-UA"/>
        </w:rPr>
        <w:t>, факт 161,9 тис. грн. Темп росту до минулого року – зростання у 5 разів, або на 133,2 тис.</w:t>
      </w:r>
      <w:r w:rsidR="000E0BF0">
        <w:rPr>
          <w:sz w:val="28"/>
          <w:szCs w:val="28"/>
          <w:lang w:val="uk-UA"/>
        </w:rPr>
        <w:t xml:space="preserve"> грн. більше.</w:t>
      </w:r>
      <w:r w:rsidRPr="00CD677D">
        <w:rPr>
          <w:sz w:val="28"/>
          <w:szCs w:val="28"/>
          <w:lang w:val="uk-UA"/>
        </w:rPr>
        <w:t xml:space="preserve"> </w:t>
      </w:r>
      <w:r w:rsidRPr="000E0BF0">
        <w:rPr>
          <w:lang w:val="uk-UA"/>
        </w:rPr>
        <w:t>(</w:t>
      </w:r>
      <w:proofErr w:type="spellStart"/>
      <w:r w:rsidRPr="000E0BF0">
        <w:rPr>
          <w:lang w:val="uk-UA"/>
        </w:rPr>
        <w:t>Довідково</w:t>
      </w:r>
      <w:proofErr w:type="spellEnd"/>
      <w:r w:rsidRPr="000E0BF0">
        <w:rPr>
          <w:lang w:val="uk-UA"/>
        </w:rPr>
        <w:t xml:space="preserve">: позитивна динаміка за рахунок  укладання нових договорів та переукладання договорів оренди майна комунальної власності. 10 платників. ) </w:t>
      </w:r>
    </w:p>
    <w:p w:rsidR="00CD677D" w:rsidRPr="00CD677D" w:rsidRDefault="00CD677D" w:rsidP="000B5A6D">
      <w:pPr>
        <w:shd w:val="clear" w:color="auto" w:fill="FFFFFF"/>
        <w:tabs>
          <w:tab w:val="left" w:pos="5380"/>
        </w:tabs>
        <w:jc w:val="both"/>
        <w:rPr>
          <w:i/>
          <w:sz w:val="28"/>
          <w:szCs w:val="28"/>
          <w:lang w:val="uk-UA"/>
        </w:rPr>
      </w:pPr>
      <w:r w:rsidRPr="00CD677D">
        <w:rPr>
          <w:sz w:val="28"/>
          <w:szCs w:val="28"/>
          <w:lang w:val="uk-UA"/>
        </w:rPr>
        <w:t xml:space="preserve">        </w:t>
      </w:r>
      <w:r w:rsidR="000E0BF0">
        <w:rPr>
          <w:sz w:val="28"/>
          <w:szCs w:val="28"/>
          <w:lang w:val="uk-UA"/>
        </w:rPr>
        <w:t xml:space="preserve">  </w:t>
      </w:r>
      <w:r w:rsidRPr="00CD677D">
        <w:rPr>
          <w:sz w:val="28"/>
          <w:szCs w:val="28"/>
          <w:lang w:val="uk-UA"/>
        </w:rPr>
        <w:t>- Надходження від сплати адміністративних шт</w:t>
      </w:r>
      <w:r w:rsidR="000E0BF0">
        <w:rPr>
          <w:sz w:val="28"/>
          <w:szCs w:val="28"/>
          <w:lang w:val="uk-UA"/>
        </w:rPr>
        <w:t>рафів, штрафних санкцій -</w:t>
      </w:r>
      <w:r w:rsidRPr="00CD677D">
        <w:rPr>
          <w:sz w:val="28"/>
          <w:szCs w:val="28"/>
          <w:lang w:val="uk-UA"/>
        </w:rPr>
        <w:t xml:space="preserve"> виконання планових призначень з урахуванням внесених змін забезпечено на 102,7%, при плані 214,7 тис. грн. факт 220,5 тис. грн., а</w:t>
      </w:r>
      <w:r w:rsidR="00587DA8">
        <w:rPr>
          <w:sz w:val="28"/>
          <w:szCs w:val="28"/>
          <w:lang w:val="uk-UA"/>
        </w:rPr>
        <w:t xml:space="preserve">бо додатково до плану отримано </w:t>
      </w:r>
      <w:r w:rsidRPr="00CD677D">
        <w:rPr>
          <w:sz w:val="28"/>
          <w:szCs w:val="28"/>
          <w:lang w:val="uk-UA"/>
        </w:rPr>
        <w:t>5,8 тис.</w:t>
      </w:r>
      <w:r w:rsidR="000E0BF0">
        <w:rPr>
          <w:sz w:val="28"/>
          <w:szCs w:val="28"/>
          <w:lang w:val="uk-UA"/>
        </w:rPr>
        <w:t xml:space="preserve"> </w:t>
      </w:r>
      <w:r w:rsidRPr="00CD677D">
        <w:rPr>
          <w:sz w:val="28"/>
          <w:szCs w:val="28"/>
          <w:lang w:val="uk-UA"/>
        </w:rPr>
        <w:t>грн. Темп росту до відп</w:t>
      </w:r>
      <w:r w:rsidR="00587DA8">
        <w:rPr>
          <w:sz w:val="28"/>
          <w:szCs w:val="28"/>
          <w:lang w:val="uk-UA"/>
        </w:rPr>
        <w:t xml:space="preserve">овідного періоду минулого року </w:t>
      </w:r>
      <w:r w:rsidRPr="00CD677D">
        <w:rPr>
          <w:sz w:val="28"/>
          <w:szCs w:val="28"/>
          <w:lang w:val="uk-UA"/>
        </w:rPr>
        <w:t>256,4%, або на 134,5 тис.</w:t>
      </w:r>
      <w:r w:rsidR="000E0BF0">
        <w:rPr>
          <w:sz w:val="28"/>
          <w:szCs w:val="28"/>
          <w:lang w:val="uk-UA"/>
        </w:rPr>
        <w:t xml:space="preserve"> </w:t>
      </w:r>
      <w:r w:rsidR="007743AA">
        <w:rPr>
          <w:sz w:val="28"/>
          <w:szCs w:val="28"/>
          <w:lang w:val="uk-UA"/>
        </w:rPr>
        <w:t>грн.</w:t>
      </w:r>
      <w:r w:rsidRPr="00CD677D">
        <w:rPr>
          <w:sz w:val="28"/>
          <w:szCs w:val="28"/>
          <w:lang w:val="uk-UA"/>
        </w:rPr>
        <w:t xml:space="preserve"> більше; </w:t>
      </w:r>
      <w:r w:rsidRPr="007743AA">
        <w:rPr>
          <w:lang w:val="uk-UA"/>
        </w:rPr>
        <w:t>(</w:t>
      </w:r>
      <w:proofErr w:type="spellStart"/>
      <w:r w:rsidRPr="007743AA">
        <w:rPr>
          <w:lang w:val="uk-UA"/>
        </w:rPr>
        <w:t>Довідково</w:t>
      </w:r>
      <w:proofErr w:type="spellEnd"/>
      <w:r w:rsidRPr="007743AA">
        <w:rPr>
          <w:lang w:val="uk-UA"/>
        </w:rPr>
        <w:t>: збільшено за рахунок сплати грошових зобов’язань по акту перевірки та адміністративні штрафи та штрафні санкції за порушення законодавства у сфері виробництва.)</w:t>
      </w:r>
      <w:r w:rsidRPr="00CD677D">
        <w:rPr>
          <w:i/>
          <w:sz w:val="28"/>
          <w:szCs w:val="28"/>
          <w:lang w:val="uk-UA"/>
        </w:rPr>
        <w:t xml:space="preserve"> </w:t>
      </w:r>
    </w:p>
    <w:p w:rsidR="00CD677D" w:rsidRPr="00CD677D" w:rsidRDefault="00CD677D" w:rsidP="007743AA">
      <w:pPr>
        <w:shd w:val="clear" w:color="auto" w:fill="FFFFFF"/>
        <w:tabs>
          <w:tab w:val="left" w:pos="709"/>
          <w:tab w:val="left" w:pos="5380"/>
        </w:tabs>
        <w:jc w:val="both"/>
        <w:rPr>
          <w:sz w:val="28"/>
          <w:szCs w:val="28"/>
          <w:lang w:val="uk-UA"/>
        </w:rPr>
      </w:pPr>
      <w:r w:rsidRPr="00CD677D">
        <w:rPr>
          <w:sz w:val="28"/>
          <w:szCs w:val="28"/>
          <w:lang w:val="uk-UA"/>
        </w:rPr>
        <w:t xml:space="preserve">        </w:t>
      </w:r>
      <w:r w:rsidR="000E0BF0">
        <w:rPr>
          <w:sz w:val="28"/>
          <w:szCs w:val="28"/>
          <w:lang w:val="uk-UA"/>
        </w:rPr>
        <w:t xml:space="preserve"> </w:t>
      </w:r>
      <w:r w:rsidRPr="00CD677D">
        <w:rPr>
          <w:sz w:val="28"/>
          <w:szCs w:val="28"/>
          <w:lang w:val="uk-UA"/>
        </w:rPr>
        <w:t>- Плата за надання адміністративних послуг виконання – 103,9% при плані 1178,8 ти</w:t>
      </w:r>
      <w:r w:rsidR="00587DA8">
        <w:rPr>
          <w:sz w:val="28"/>
          <w:szCs w:val="28"/>
          <w:lang w:val="uk-UA"/>
        </w:rPr>
        <w:t xml:space="preserve">с. грн., факт 1224,3 тис. грн. або на 45,5 </w:t>
      </w:r>
      <w:r w:rsidRPr="00CD677D">
        <w:rPr>
          <w:sz w:val="28"/>
          <w:szCs w:val="28"/>
          <w:lang w:val="uk-UA"/>
        </w:rPr>
        <w:t>тис. грн. більше. Темп росту до мин</w:t>
      </w:r>
      <w:r w:rsidR="00587DA8">
        <w:rPr>
          <w:sz w:val="28"/>
          <w:szCs w:val="28"/>
          <w:lang w:val="uk-UA"/>
        </w:rPr>
        <w:t xml:space="preserve">улого року склав 83,3%; або на </w:t>
      </w:r>
      <w:r w:rsidRPr="00CD677D">
        <w:rPr>
          <w:sz w:val="28"/>
          <w:szCs w:val="28"/>
          <w:lang w:val="uk-UA"/>
        </w:rPr>
        <w:t xml:space="preserve">246,1 тис. грн., менше. </w:t>
      </w:r>
      <w:r w:rsidRPr="007743AA">
        <w:rPr>
          <w:lang w:val="uk-UA"/>
        </w:rPr>
        <w:t>(</w:t>
      </w:r>
      <w:proofErr w:type="spellStart"/>
      <w:r w:rsidRPr="007743AA">
        <w:rPr>
          <w:lang w:val="uk-UA"/>
        </w:rPr>
        <w:t>Довідково</w:t>
      </w:r>
      <w:proofErr w:type="spellEnd"/>
      <w:r w:rsidRPr="007743AA">
        <w:rPr>
          <w:lang w:val="uk-UA"/>
        </w:rPr>
        <w:t>: негативно вплинуло зменшення кількості відповідних звернень, у 2020 році додатково надава</w:t>
      </w:r>
      <w:r w:rsidR="007743AA">
        <w:rPr>
          <w:lang w:val="uk-UA"/>
        </w:rPr>
        <w:t xml:space="preserve">лись </w:t>
      </w:r>
      <w:proofErr w:type="spellStart"/>
      <w:r w:rsidR="007743AA">
        <w:rPr>
          <w:lang w:val="uk-UA"/>
        </w:rPr>
        <w:t>адмінпослуги</w:t>
      </w:r>
      <w:proofErr w:type="spellEnd"/>
      <w:r w:rsidR="007743AA">
        <w:rPr>
          <w:lang w:val="uk-UA"/>
        </w:rPr>
        <w:t xml:space="preserve"> по </w:t>
      </w:r>
      <w:proofErr w:type="spellStart"/>
      <w:r w:rsidR="007743AA">
        <w:rPr>
          <w:lang w:val="uk-UA"/>
        </w:rPr>
        <w:t>Точилівській</w:t>
      </w:r>
      <w:proofErr w:type="spellEnd"/>
      <w:r w:rsidR="007743AA">
        <w:rPr>
          <w:lang w:val="uk-UA"/>
        </w:rPr>
        <w:t xml:space="preserve"> сільській </w:t>
      </w:r>
      <w:r w:rsidRPr="007743AA">
        <w:rPr>
          <w:lang w:val="uk-UA"/>
        </w:rPr>
        <w:t xml:space="preserve">раді </w:t>
      </w:r>
      <w:r w:rsidRPr="007743AA">
        <w:rPr>
          <w:lang w:val="uk-UA"/>
        </w:rPr>
        <w:lastRenderedPageBreak/>
        <w:t xml:space="preserve">КП"РЕГ.ЦЕНТ.ДЕРЖ.РЕЇСТ.РЕЧ.ПРАВ НА НЕР.МАЙНО (факт за 12 міс.2020р. </w:t>
      </w:r>
      <w:proofErr w:type="spellStart"/>
      <w:r w:rsidRPr="007743AA">
        <w:rPr>
          <w:lang w:val="uk-UA"/>
        </w:rPr>
        <w:t>Точилівська</w:t>
      </w:r>
      <w:proofErr w:type="spellEnd"/>
      <w:r w:rsidRPr="007743AA">
        <w:rPr>
          <w:lang w:val="uk-UA"/>
        </w:rPr>
        <w:t xml:space="preserve"> </w:t>
      </w:r>
      <w:proofErr w:type="spellStart"/>
      <w:r w:rsidRPr="007743AA">
        <w:rPr>
          <w:lang w:val="uk-UA"/>
        </w:rPr>
        <w:t>с.р.-</w:t>
      </w:r>
      <w:proofErr w:type="spellEnd"/>
      <w:r w:rsidRPr="007743AA">
        <w:rPr>
          <w:lang w:val="uk-UA"/>
        </w:rPr>
        <w:t xml:space="preserve"> 54,2 </w:t>
      </w:r>
      <w:proofErr w:type="spellStart"/>
      <w:r w:rsidRPr="007743AA">
        <w:rPr>
          <w:lang w:val="uk-UA"/>
        </w:rPr>
        <w:t>тис.грн</w:t>
      </w:r>
      <w:proofErr w:type="spellEnd"/>
      <w:r w:rsidRPr="007743AA">
        <w:rPr>
          <w:lang w:val="uk-UA"/>
        </w:rPr>
        <w:t>.)</w:t>
      </w:r>
    </w:p>
    <w:p w:rsidR="00CD677D" w:rsidRPr="00CD677D" w:rsidRDefault="00CD677D" w:rsidP="00587DA8">
      <w:pPr>
        <w:tabs>
          <w:tab w:val="left" w:pos="709"/>
        </w:tabs>
        <w:jc w:val="both"/>
        <w:rPr>
          <w:sz w:val="28"/>
          <w:szCs w:val="28"/>
          <w:lang w:val="uk-UA"/>
        </w:rPr>
      </w:pPr>
      <w:r w:rsidRPr="00CD677D">
        <w:rPr>
          <w:sz w:val="28"/>
          <w:szCs w:val="28"/>
          <w:lang w:val="uk-UA"/>
        </w:rPr>
        <w:t xml:space="preserve">      </w:t>
      </w:r>
      <w:r w:rsidR="007743AA">
        <w:rPr>
          <w:sz w:val="28"/>
          <w:szCs w:val="28"/>
          <w:lang w:val="uk-UA"/>
        </w:rPr>
        <w:t xml:space="preserve">   </w:t>
      </w:r>
      <w:r w:rsidR="00587DA8">
        <w:rPr>
          <w:sz w:val="28"/>
          <w:szCs w:val="28"/>
          <w:lang w:val="uk-UA"/>
        </w:rPr>
        <w:t xml:space="preserve">- Інші надходження </w:t>
      </w:r>
      <w:r w:rsidRPr="00CD677D">
        <w:rPr>
          <w:sz w:val="28"/>
          <w:szCs w:val="28"/>
          <w:lang w:val="uk-UA"/>
        </w:rPr>
        <w:t>та кошти за шкоду, що заподіяна на земельних ділянках державної та комунальної власності – виконання планових призначень з урахуванням внесених змін забезпечено 100,0%, при плані 419,1 тис. грн. факт 419,1 тис. грн. Темп росту до відп</w:t>
      </w:r>
      <w:r w:rsidR="00587DA8">
        <w:rPr>
          <w:sz w:val="28"/>
          <w:szCs w:val="28"/>
          <w:lang w:val="uk-UA"/>
        </w:rPr>
        <w:t xml:space="preserve">овідного періоду минулого року </w:t>
      </w:r>
      <w:r w:rsidRPr="00CD677D">
        <w:rPr>
          <w:sz w:val="28"/>
          <w:szCs w:val="28"/>
          <w:lang w:val="uk-UA"/>
        </w:rPr>
        <w:t>151,5%, або на 142,5 тис.</w:t>
      </w:r>
      <w:r w:rsidR="007743AA">
        <w:rPr>
          <w:sz w:val="28"/>
          <w:szCs w:val="28"/>
          <w:lang w:val="uk-UA"/>
        </w:rPr>
        <w:t xml:space="preserve"> грн.</w:t>
      </w:r>
      <w:r w:rsidRPr="00CD677D">
        <w:rPr>
          <w:sz w:val="28"/>
          <w:szCs w:val="28"/>
          <w:lang w:val="uk-UA"/>
        </w:rPr>
        <w:t xml:space="preserve"> більше.  </w:t>
      </w:r>
    </w:p>
    <w:p w:rsidR="00CD677D" w:rsidRPr="00CD677D" w:rsidRDefault="007743AA" w:rsidP="007743AA">
      <w:pPr>
        <w:shd w:val="clear" w:color="auto" w:fill="FFFFFF"/>
        <w:tabs>
          <w:tab w:val="left" w:pos="709"/>
          <w:tab w:val="left" w:pos="5380"/>
        </w:tabs>
        <w:jc w:val="both"/>
        <w:rPr>
          <w:sz w:val="28"/>
          <w:szCs w:val="28"/>
          <w:lang w:val="uk-UA"/>
        </w:rPr>
      </w:pPr>
      <w:r>
        <w:rPr>
          <w:sz w:val="28"/>
          <w:szCs w:val="28"/>
          <w:lang w:val="uk-UA"/>
        </w:rPr>
        <w:t xml:space="preserve">          </w:t>
      </w:r>
      <w:r w:rsidR="00587DA8">
        <w:rPr>
          <w:sz w:val="28"/>
          <w:szCs w:val="28"/>
          <w:lang w:val="uk-UA"/>
        </w:rPr>
        <w:t xml:space="preserve">Не виконання є по </w:t>
      </w:r>
      <w:r w:rsidR="00CD677D" w:rsidRPr="00CD677D">
        <w:rPr>
          <w:sz w:val="28"/>
          <w:szCs w:val="28"/>
          <w:lang w:val="uk-UA"/>
        </w:rPr>
        <w:t xml:space="preserve">одному джерелу надходжень, а саме: </w:t>
      </w:r>
    </w:p>
    <w:p w:rsidR="00CD677D" w:rsidRPr="00CD677D" w:rsidRDefault="00CD677D" w:rsidP="00CD677D">
      <w:pPr>
        <w:shd w:val="clear" w:color="auto" w:fill="FFFFFF"/>
        <w:tabs>
          <w:tab w:val="left" w:pos="5380"/>
        </w:tabs>
        <w:jc w:val="both"/>
        <w:rPr>
          <w:sz w:val="28"/>
          <w:szCs w:val="28"/>
          <w:highlight w:val="yellow"/>
          <w:lang w:val="uk-UA"/>
        </w:rPr>
      </w:pPr>
      <w:r w:rsidRPr="00CD677D">
        <w:rPr>
          <w:sz w:val="28"/>
          <w:szCs w:val="28"/>
          <w:lang w:val="uk-UA"/>
        </w:rPr>
        <w:t xml:space="preserve">     </w:t>
      </w:r>
      <w:r w:rsidR="007743AA">
        <w:rPr>
          <w:sz w:val="28"/>
          <w:szCs w:val="28"/>
          <w:lang w:val="uk-UA"/>
        </w:rPr>
        <w:t xml:space="preserve">     -</w:t>
      </w:r>
      <w:r w:rsidRPr="00CD677D">
        <w:rPr>
          <w:sz w:val="28"/>
          <w:szCs w:val="28"/>
          <w:lang w:val="uk-UA"/>
        </w:rPr>
        <w:t xml:space="preserve"> Акцизний податок виконано на 47,4% при плані 7565,4 тис.</w:t>
      </w:r>
      <w:r w:rsidR="007743AA">
        <w:rPr>
          <w:sz w:val="28"/>
          <w:szCs w:val="28"/>
          <w:lang w:val="uk-UA"/>
        </w:rPr>
        <w:t xml:space="preserve"> </w:t>
      </w:r>
      <w:r w:rsidRPr="00CD677D">
        <w:rPr>
          <w:sz w:val="28"/>
          <w:szCs w:val="28"/>
          <w:lang w:val="uk-UA"/>
        </w:rPr>
        <w:t>грн., факт 3583,9 тис.</w:t>
      </w:r>
      <w:r w:rsidR="007743AA">
        <w:rPr>
          <w:sz w:val="28"/>
          <w:szCs w:val="28"/>
          <w:lang w:val="uk-UA"/>
        </w:rPr>
        <w:t xml:space="preserve"> грн.</w:t>
      </w:r>
      <w:r w:rsidRPr="00CD677D">
        <w:rPr>
          <w:sz w:val="28"/>
          <w:szCs w:val="28"/>
          <w:lang w:val="uk-UA"/>
        </w:rPr>
        <w:t>, або на 3981,5 тис. грн. менше. Темп росту до минулого року 45,1% або на 4365,8 тис. грн. менше., в тому числі «Акцизний податок з реалізації суб’єктами господарювання роздрібної торгівлі підакцизних товарів» виконано на 99,8% при плані 771,2 тис.</w:t>
      </w:r>
      <w:r w:rsidR="007743AA">
        <w:rPr>
          <w:sz w:val="28"/>
          <w:szCs w:val="28"/>
          <w:lang w:val="uk-UA"/>
        </w:rPr>
        <w:t xml:space="preserve"> </w:t>
      </w:r>
      <w:r w:rsidRPr="00CD677D">
        <w:rPr>
          <w:sz w:val="28"/>
          <w:szCs w:val="28"/>
          <w:lang w:val="uk-UA"/>
        </w:rPr>
        <w:t>грн., факт 769,9 тис.</w:t>
      </w:r>
      <w:r w:rsidR="007743AA">
        <w:rPr>
          <w:sz w:val="28"/>
          <w:szCs w:val="28"/>
          <w:lang w:val="uk-UA"/>
        </w:rPr>
        <w:t xml:space="preserve"> </w:t>
      </w:r>
      <w:proofErr w:type="spellStart"/>
      <w:r w:rsidRPr="00CD677D">
        <w:rPr>
          <w:sz w:val="28"/>
          <w:szCs w:val="28"/>
          <w:lang w:val="uk-UA"/>
        </w:rPr>
        <w:t>грн</w:t>
      </w:r>
      <w:proofErr w:type="spellEnd"/>
      <w:r w:rsidRPr="00CD677D">
        <w:rPr>
          <w:sz w:val="28"/>
          <w:szCs w:val="28"/>
          <w:lang w:val="uk-UA"/>
        </w:rPr>
        <w:t>, або на 1,3 тис. грн. менше. Темп росту до минулого року 98,</w:t>
      </w:r>
      <w:r w:rsidR="00587DA8">
        <w:rPr>
          <w:sz w:val="28"/>
          <w:szCs w:val="28"/>
          <w:lang w:val="uk-UA"/>
        </w:rPr>
        <w:t>3% або на 13,0 тис. грн. менше.</w:t>
      </w:r>
      <w:r w:rsidRPr="00CD677D">
        <w:rPr>
          <w:sz w:val="28"/>
          <w:szCs w:val="28"/>
          <w:lang w:val="uk-UA"/>
        </w:rPr>
        <w:t xml:space="preserve"> </w:t>
      </w:r>
      <w:r w:rsidRPr="007743AA">
        <w:rPr>
          <w:lang w:val="uk-UA"/>
        </w:rPr>
        <w:t>(</w:t>
      </w:r>
      <w:proofErr w:type="spellStart"/>
      <w:r w:rsidRPr="007743AA">
        <w:rPr>
          <w:lang w:val="uk-UA"/>
        </w:rPr>
        <w:t>Довідково</w:t>
      </w:r>
      <w:proofErr w:type="spellEnd"/>
      <w:r w:rsidRPr="007743AA">
        <w:rPr>
          <w:lang w:val="uk-UA"/>
        </w:rPr>
        <w:t>: Зменшення суми відрахування до міського бюджет</w:t>
      </w:r>
      <w:r w:rsidR="00587DA8">
        <w:rPr>
          <w:lang w:val="uk-UA"/>
        </w:rPr>
        <w:t xml:space="preserve">у пов'язане із </w:t>
      </w:r>
      <w:r w:rsidRPr="007743AA">
        <w:rPr>
          <w:lang w:val="uk-UA"/>
        </w:rPr>
        <w:t>зме</w:t>
      </w:r>
      <w:r w:rsidR="00587DA8">
        <w:rPr>
          <w:lang w:val="uk-UA"/>
        </w:rPr>
        <w:t xml:space="preserve">ншенням частки для зарахування частини акцизного податку </w:t>
      </w:r>
      <w:r w:rsidRPr="007743AA">
        <w:rPr>
          <w:lang w:val="uk-UA"/>
        </w:rPr>
        <w:t>з виробленого в Україні та ввезеного на митн</w:t>
      </w:r>
      <w:r w:rsidR="00587DA8">
        <w:rPr>
          <w:lang w:val="uk-UA"/>
        </w:rPr>
        <w:t>у територію України. Зменшення обсягів реалізації пального</w:t>
      </w:r>
      <w:r w:rsidRPr="007743AA">
        <w:rPr>
          <w:lang w:val="uk-UA"/>
        </w:rPr>
        <w:t xml:space="preserve"> </w:t>
      </w:r>
      <w:proofErr w:type="spellStart"/>
      <w:r w:rsidRPr="007743AA">
        <w:rPr>
          <w:lang w:val="uk-UA"/>
        </w:rPr>
        <w:t>м.Ананьїв</w:t>
      </w:r>
      <w:proofErr w:type="spellEnd"/>
      <w:r w:rsidRPr="007743AA">
        <w:rPr>
          <w:lang w:val="uk-UA"/>
        </w:rPr>
        <w:t>, с.Ананьїв-1 у 2,6</w:t>
      </w:r>
      <w:r w:rsidR="007743AA">
        <w:rPr>
          <w:lang w:val="uk-UA"/>
        </w:rPr>
        <w:t xml:space="preserve"> рази</w:t>
      </w:r>
      <w:r w:rsidRPr="007743AA">
        <w:rPr>
          <w:lang w:val="uk-UA"/>
        </w:rPr>
        <w:t xml:space="preserve"> (на 2728,7 тис.</w:t>
      </w:r>
      <w:r w:rsidR="007743AA">
        <w:rPr>
          <w:lang w:val="uk-UA"/>
        </w:rPr>
        <w:t xml:space="preserve"> </w:t>
      </w:r>
      <w:r w:rsidR="00587DA8">
        <w:rPr>
          <w:lang w:val="uk-UA"/>
        </w:rPr>
        <w:t xml:space="preserve">літрів). </w:t>
      </w:r>
      <w:r w:rsidRPr="007743AA">
        <w:rPr>
          <w:lang w:val="uk-UA"/>
        </w:rPr>
        <w:t>Направлено листа до ГУ ДПС в Одеській обл. по АЗС та організовано проведення перевірок органами ДПС по діючим АЗС, були встановлені порушення та застосовані штрафні санкції. Стосовно акцизного податку на роздрібну торгівлю негативно вплинуло введення карантинних заходів, які вплинули на обсяги торгівлі. 32 платника. Найбільший платник - ТОВ "</w:t>
      </w:r>
      <w:proofErr w:type="spellStart"/>
      <w:r w:rsidRPr="007743AA">
        <w:rPr>
          <w:lang w:val="uk-UA"/>
        </w:rPr>
        <w:t>Копейка-Центр</w:t>
      </w:r>
      <w:proofErr w:type="spellEnd"/>
      <w:r w:rsidRPr="007743AA">
        <w:rPr>
          <w:lang w:val="uk-UA"/>
        </w:rPr>
        <w:t>".</w:t>
      </w:r>
      <w:r w:rsidRPr="00CD677D">
        <w:rPr>
          <w:sz w:val="28"/>
          <w:szCs w:val="28"/>
          <w:highlight w:val="yellow"/>
          <w:lang w:val="uk-UA"/>
        </w:rPr>
        <w:t xml:space="preserve"> </w:t>
      </w:r>
    </w:p>
    <w:p w:rsidR="00CD677D" w:rsidRPr="00CD677D" w:rsidRDefault="00CD677D" w:rsidP="00CD677D">
      <w:pPr>
        <w:shd w:val="clear" w:color="auto" w:fill="FFFFFF"/>
        <w:tabs>
          <w:tab w:val="left" w:pos="5380"/>
        </w:tabs>
        <w:jc w:val="both"/>
        <w:rPr>
          <w:sz w:val="28"/>
          <w:szCs w:val="28"/>
          <w:lang w:val="uk-UA"/>
        </w:rPr>
      </w:pPr>
      <w:r w:rsidRPr="00CD677D">
        <w:rPr>
          <w:sz w:val="28"/>
          <w:szCs w:val="28"/>
          <w:lang w:val="uk-UA"/>
        </w:rPr>
        <w:t xml:space="preserve">     </w:t>
      </w:r>
      <w:r w:rsidR="007743AA">
        <w:rPr>
          <w:sz w:val="28"/>
          <w:szCs w:val="28"/>
          <w:lang w:val="uk-UA"/>
        </w:rPr>
        <w:t xml:space="preserve">     </w:t>
      </w:r>
      <w:r w:rsidRPr="00CD677D">
        <w:rPr>
          <w:sz w:val="28"/>
          <w:szCs w:val="28"/>
          <w:lang w:val="uk-UA"/>
        </w:rPr>
        <w:t xml:space="preserve">Виконання планових показників дохідної частини бюджету Ананьївської </w:t>
      </w:r>
      <w:r w:rsidR="00587DA8">
        <w:rPr>
          <w:sz w:val="28"/>
          <w:szCs w:val="28"/>
          <w:lang w:val="uk-UA"/>
        </w:rPr>
        <w:t xml:space="preserve">міської територіальної громади </w:t>
      </w:r>
      <w:r w:rsidRPr="00CD677D">
        <w:rPr>
          <w:sz w:val="28"/>
          <w:szCs w:val="28"/>
          <w:lang w:val="uk-UA"/>
        </w:rPr>
        <w:t>по спеціальному фон</w:t>
      </w:r>
      <w:r w:rsidR="00587DA8">
        <w:rPr>
          <w:sz w:val="28"/>
          <w:szCs w:val="28"/>
          <w:lang w:val="uk-UA"/>
        </w:rPr>
        <w:t xml:space="preserve">ду з урахуванням внесених змін </w:t>
      </w:r>
      <w:r w:rsidRPr="00CD677D">
        <w:rPr>
          <w:sz w:val="28"/>
          <w:szCs w:val="28"/>
          <w:lang w:val="uk-UA"/>
        </w:rPr>
        <w:t xml:space="preserve">за 2021 </w:t>
      </w:r>
      <w:r w:rsidR="00587DA8">
        <w:rPr>
          <w:sz w:val="28"/>
          <w:szCs w:val="28"/>
          <w:lang w:val="uk-UA"/>
        </w:rPr>
        <w:t xml:space="preserve">рік становить 98,5%, при плані </w:t>
      </w:r>
      <w:r w:rsidRPr="00CD677D">
        <w:rPr>
          <w:sz w:val="28"/>
          <w:szCs w:val="28"/>
          <w:lang w:val="uk-UA"/>
        </w:rPr>
        <w:t>20 079,7 тис. грн., фактичн</w:t>
      </w:r>
      <w:r w:rsidR="00587DA8">
        <w:rPr>
          <w:sz w:val="28"/>
          <w:szCs w:val="28"/>
          <w:lang w:val="uk-UA"/>
        </w:rPr>
        <w:t xml:space="preserve">о надійшло 19 768,9 тис. грн., або на </w:t>
      </w:r>
      <w:r w:rsidRPr="00CD677D">
        <w:rPr>
          <w:sz w:val="28"/>
          <w:szCs w:val="28"/>
          <w:lang w:val="uk-UA"/>
        </w:rPr>
        <w:t>310,8 тис. грн. менше.</w:t>
      </w:r>
    </w:p>
    <w:p w:rsidR="00CD677D" w:rsidRPr="00CD677D" w:rsidRDefault="00CD677D" w:rsidP="00CD677D">
      <w:pPr>
        <w:jc w:val="both"/>
        <w:rPr>
          <w:sz w:val="28"/>
          <w:szCs w:val="28"/>
          <w:lang w:val="uk-UA"/>
        </w:rPr>
      </w:pPr>
      <w:r w:rsidRPr="00CD677D">
        <w:rPr>
          <w:sz w:val="28"/>
          <w:szCs w:val="28"/>
          <w:lang w:val="uk-UA"/>
        </w:rPr>
        <w:t xml:space="preserve">        </w:t>
      </w:r>
      <w:r w:rsidR="007743AA">
        <w:rPr>
          <w:sz w:val="28"/>
          <w:szCs w:val="28"/>
          <w:lang w:val="uk-UA"/>
        </w:rPr>
        <w:t xml:space="preserve">  </w:t>
      </w:r>
      <w:r w:rsidRPr="00CD677D">
        <w:rPr>
          <w:sz w:val="28"/>
          <w:szCs w:val="28"/>
          <w:lang w:val="uk-UA"/>
        </w:rPr>
        <w:t>Офіційних трансфертів отримано у сумі 17 890,5 тис. грн., при плані 18119,0 тис.</w:t>
      </w:r>
      <w:r w:rsidR="007743AA">
        <w:rPr>
          <w:sz w:val="28"/>
          <w:szCs w:val="28"/>
          <w:lang w:val="uk-UA"/>
        </w:rPr>
        <w:t xml:space="preserve"> </w:t>
      </w:r>
      <w:r w:rsidRPr="00CD677D">
        <w:rPr>
          <w:sz w:val="28"/>
          <w:szCs w:val="28"/>
          <w:lang w:val="uk-UA"/>
        </w:rPr>
        <w:t>грн., що складає 98,7% планових призначень або на 228,5 тис.</w:t>
      </w:r>
      <w:r w:rsidR="007743AA">
        <w:rPr>
          <w:sz w:val="28"/>
          <w:szCs w:val="28"/>
          <w:lang w:val="uk-UA"/>
        </w:rPr>
        <w:t xml:space="preserve"> </w:t>
      </w:r>
      <w:r w:rsidRPr="00CD677D">
        <w:rPr>
          <w:sz w:val="28"/>
          <w:szCs w:val="28"/>
          <w:lang w:val="uk-UA"/>
        </w:rPr>
        <w:t xml:space="preserve">грн. менше. </w:t>
      </w:r>
      <w:proofErr w:type="spellStart"/>
      <w:r w:rsidRPr="00CD677D">
        <w:rPr>
          <w:sz w:val="28"/>
          <w:szCs w:val="28"/>
          <w:lang w:val="uk-UA"/>
        </w:rPr>
        <w:t>Недоотримано</w:t>
      </w:r>
      <w:proofErr w:type="spellEnd"/>
      <w:r w:rsidRPr="00CD677D">
        <w:rPr>
          <w:sz w:val="28"/>
          <w:szCs w:val="28"/>
          <w:lang w:val="uk-UA"/>
        </w:rPr>
        <w:t xml:space="preserve"> субвенції:</w:t>
      </w:r>
    </w:p>
    <w:p w:rsidR="00CD677D" w:rsidRPr="00CD677D" w:rsidRDefault="00CD677D" w:rsidP="00CD677D">
      <w:pPr>
        <w:shd w:val="clear" w:color="auto" w:fill="FFFFFF"/>
        <w:tabs>
          <w:tab w:val="left" w:pos="5380"/>
        </w:tabs>
        <w:jc w:val="both"/>
        <w:rPr>
          <w:sz w:val="28"/>
          <w:szCs w:val="28"/>
          <w:lang w:val="uk-UA"/>
        </w:rPr>
      </w:pPr>
      <w:r w:rsidRPr="00CD677D">
        <w:rPr>
          <w:sz w:val="28"/>
          <w:szCs w:val="28"/>
          <w:lang w:val="uk-UA"/>
        </w:rPr>
        <w:t xml:space="preserve">     </w:t>
      </w:r>
      <w:r w:rsidR="007743AA">
        <w:rPr>
          <w:sz w:val="28"/>
          <w:szCs w:val="28"/>
          <w:lang w:val="uk-UA"/>
        </w:rPr>
        <w:t xml:space="preserve">    </w:t>
      </w:r>
      <w:r w:rsidRPr="00CD677D">
        <w:rPr>
          <w:sz w:val="28"/>
          <w:szCs w:val="28"/>
          <w:lang w:val="uk-UA"/>
        </w:rPr>
        <w:t>- Субвенція з місцевого бюджету на виконання інвестиційних проектів – 97,1% або на 228,5 тис. грн. менше.</w:t>
      </w:r>
    </w:p>
    <w:p w:rsidR="00CD677D" w:rsidRPr="00CD677D" w:rsidRDefault="00CD677D" w:rsidP="00CD677D">
      <w:pPr>
        <w:shd w:val="clear" w:color="auto" w:fill="FFFFFF"/>
        <w:tabs>
          <w:tab w:val="left" w:pos="5380"/>
        </w:tabs>
        <w:jc w:val="both"/>
        <w:rPr>
          <w:sz w:val="28"/>
          <w:szCs w:val="28"/>
          <w:lang w:val="uk-UA"/>
        </w:rPr>
      </w:pPr>
      <w:r w:rsidRPr="00CD677D">
        <w:rPr>
          <w:sz w:val="28"/>
          <w:szCs w:val="28"/>
          <w:lang w:val="uk-UA"/>
        </w:rPr>
        <w:t xml:space="preserve">         Спеці</w:t>
      </w:r>
      <w:r w:rsidR="00587DA8">
        <w:rPr>
          <w:sz w:val="28"/>
          <w:szCs w:val="28"/>
          <w:lang w:val="uk-UA"/>
        </w:rPr>
        <w:t xml:space="preserve">альний фонд власних надходжень </w:t>
      </w:r>
      <w:r w:rsidRPr="00CD677D">
        <w:rPr>
          <w:sz w:val="28"/>
          <w:szCs w:val="28"/>
          <w:lang w:val="uk-UA"/>
        </w:rPr>
        <w:t>бюджету за 2021 рік (без урахування трансфертів</w:t>
      </w:r>
      <w:r w:rsidR="00587DA8">
        <w:rPr>
          <w:sz w:val="28"/>
          <w:szCs w:val="28"/>
          <w:lang w:val="uk-UA"/>
        </w:rPr>
        <w:t xml:space="preserve">) виконано на 95,8%. При плані </w:t>
      </w:r>
      <w:r w:rsidRPr="00CD677D">
        <w:rPr>
          <w:sz w:val="28"/>
          <w:szCs w:val="28"/>
          <w:lang w:val="uk-UA"/>
        </w:rPr>
        <w:t>1960,7 тис.</w:t>
      </w:r>
      <w:r w:rsidR="00587DA8">
        <w:rPr>
          <w:sz w:val="28"/>
          <w:szCs w:val="28"/>
          <w:lang w:val="uk-UA"/>
        </w:rPr>
        <w:t xml:space="preserve"> </w:t>
      </w:r>
      <w:r w:rsidRPr="00CD677D">
        <w:rPr>
          <w:sz w:val="28"/>
          <w:szCs w:val="28"/>
          <w:lang w:val="uk-UA"/>
        </w:rPr>
        <w:t>грн., фактично</w:t>
      </w:r>
      <w:r w:rsidR="00587DA8">
        <w:rPr>
          <w:sz w:val="28"/>
          <w:szCs w:val="28"/>
          <w:lang w:val="uk-UA"/>
        </w:rPr>
        <w:t xml:space="preserve"> надійшло 1878,4 тис. грн., що </w:t>
      </w:r>
      <w:r w:rsidRPr="00CD677D">
        <w:rPr>
          <w:sz w:val="28"/>
          <w:szCs w:val="28"/>
          <w:lang w:val="uk-UA"/>
        </w:rPr>
        <w:t>на 82,3 тис. грн. менше. Виконання бюджету по власним надходженням спеціального фонду в порівнянні до від</w:t>
      </w:r>
      <w:r w:rsidR="00587DA8">
        <w:rPr>
          <w:sz w:val="28"/>
          <w:szCs w:val="28"/>
          <w:lang w:val="uk-UA"/>
        </w:rPr>
        <w:t>повідного періоду минулого року</w:t>
      </w:r>
      <w:r w:rsidRPr="00CD677D">
        <w:rPr>
          <w:sz w:val="28"/>
          <w:szCs w:val="28"/>
          <w:lang w:val="uk-UA"/>
        </w:rPr>
        <w:t xml:space="preserve"> становить 107,3%,</w:t>
      </w:r>
      <w:r w:rsidR="00587DA8">
        <w:rPr>
          <w:sz w:val="28"/>
          <w:szCs w:val="28"/>
          <w:lang w:val="uk-UA"/>
        </w:rPr>
        <w:t xml:space="preserve"> що на </w:t>
      </w:r>
      <w:r w:rsidRPr="00CD677D">
        <w:rPr>
          <w:sz w:val="28"/>
          <w:szCs w:val="28"/>
          <w:lang w:val="uk-UA"/>
        </w:rPr>
        <w:t>128,5 тис. грн. більше.</w:t>
      </w:r>
    </w:p>
    <w:p w:rsidR="00CD677D" w:rsidRPr="00CD677D" w:rsidRDefault="00CD677D" w:rsidP="00CD677D">
      <w:pPr>
        <w:shd w:val="clear" w:color="auto" w:fill="FFFFFF"/>
        <w:tabs>
          <w:tab w:val="left" w:pos="5380"/>
        </w:tabs>
        <w:jc w:val="both"/>
        <w:rPr>
          <w:sz w:val="28"/>
          <w:szCs w:val="28"/>
          <w:lang w:val="uk-UA"/>
        </w:rPr>
      </w:pPr>
      <w:r w:rsidRPr="00CD677D">
        <w:rPr>
          <w:sz w:val="28"/>
          <w:szCs w:val="28"/>
          <w:lang w:val="uk-UA"/>
        </w:rPr>
        <w:t xml:space="preserve">         </w:t>
      </w:r>
      <w:r w:rsidR="007743AA">
        <w:rPr>
          <w:sz w:val="28"/>
          <w:szCs w:val="28"/>
          <w:lang w:val="uk-UA"/>
        </w:rPr>
        <w:t xml:space="preserve"> </w:t>
      </w:r>
      <w:r w:rsidRPr="00CD677D">
        <w:rPr>
          <w:sz w:val="28"/>
          <w:szCs w:val="28"/>
          <w:lang w:val="uk-UA"/>
        </w:rPr>
        <w:t>Джерелом надходжень до спеціального фонду бюджету є надходження від екологічний податку та власні надходження бюджетних установ.</w:t>
      </w:r>
    </w:p>
    <w:p w:rsidR="00CD677D" w:rsidRPr="00CD677D" w:rsidRDefault="00002841" w:rsidP="00CD677D">
      <w:pPr>
        <w:shd w:val="clear" w:color="auto" w:fill="FFFFFF"/>
        <w:tabs>
          <w:tab w:val="left" w:pos="5380"/>
        </w:tabs>
        <w:jc w:val="both"/>
        <w:rPr>
          <w:sz w:val="28"/>
          <w:szCs w:val="28"/>
          <w:highlight w:val="yellow"/>
          <w:lang w:val="uk-UA"/>
        </w:rPr>
      </w:pPr>
      <w:r>
        <w:rPr>
          <w:sz w:val="28"/>
          <w:szCs w:val="28"/>
          <w:lang w:val="uk-UA"/>
        </w:rPr>
        <w:t xml:space="preserve">          -</w:t>
      </w:r>
      <w:r w:rsidR="00CD677D" w:rsidRPr="00CD677D">
        <w:rPr>
          <w:sz w:val="28"/>
          <w:szCs w:val="28"/>
          <w:lang w:val="uk-UA"/>
        </w:rPr>
        <w:t xml:space="preserve"> Екологічний податок виконано на 69,4%. При плані 65,6 тис.</w:t>
      </w:r>
      <w:r>
        <w:rPr>
          <w:sz w:val="28"/>
          <w:szCs w:val="28"/>
          <w:lang w:val="uk-UA"/>
        </w:rPr>
        <w:t xml:space="preserve"> </w:t>
      </w:r>
      <w:r w:rsidR="00CD677D" w:rsidRPr="00CD677D">
        <w:rPr>
          <w:sz w:val="28"/>
          <w:szCs w:val="28"/>
          <w:lang w:val="uk-UA"/>
        </w:rPr>
        <w:t>грн., фактичн</w:t>
      </w:r>
      <w:r w:rsidR="00587DA8">
        <w:rPr>
          <w:sz w:val="28"/>
          <w:szCs w:val="28"/>
          <w:lang w:val="uk-UA"/>
        </w:rPr>
        <w:t xml:space="preserve">о надійшло 45,5 тис. грн., що </w:t>
      </w:r>
      <w:r w:rsidR="00CD677D" w:rsidRPr="00CD677D">
        <w:rPr>
          <w:sz w:val="28"/>
          <w:szCs w:val="28"/>
          <w:lang w:val="uk-UA"/>
        </w:rPr>
        <w:t>на 20,1 тис. грн. менше. Темп росту до відповідного пер</w:t>
      </w:r>
      <w:r w:rsidR="00587DA8">
        <w:rPr>
          <w:sz w:val="28"/>
          <w:szCs w:val="28"/>
          <w:lang w:val="uk-UA"/>
        </w:rPr>
        <w:t xml:space="preserve">іоду минулого року склав 88,5%; </w:t>
      </w:r>
      <w:r w:rsidR="00CD677D" w:rsidRPr="00CD677D">
        <w:rPr>
          <w:sz w:val="28"/>
          <w:szCs w:val="28"/>
          <w:lang w:val="uk-UA"/>
        </w:rPr>
        <w:t xml:space="preserve">або на  5,9 тис. грн., менше. </w:t>
      </w:r>
      <w:r w:rsidR="00CD677D" w:rsidRPr="00002841">
        <w:rPr>
          <w:lang w:val="uk-UA"/>
        </w:rPr>
        <w:t>(</w:t>
      </w:r>
      <w:proofErr w:type="spellStart"/>
      <w:r w:rsidR="00CD677D" w:rsidRPr="00002841">
        <w:rPr>
          <w:lang w:val="uk-UA"/>
        </w:rPr>
        <w:t>Довідково</w:t>
      </w:r>
      <w:proofErr w:type="spellEnd"/>
      <w:r w:rsidR="00CD677D" w:rsidRPr="00002841">
        <w:rPr>
          <w:lang w:val="uk-UA"/>
        </w:rPr>
        <w:t>: за рахунок зменшення об'ємів атмосферних викидів).</w:t>
      </w:r>
    </w:p>
    <w:p w:rsidR="00CD677D" w:rsidRPr="00CD677D" w:rsidRDefault="00CD677D" w:rsidP="00AD0ED5">
      <w:pPr>
        <w:shd w:val="clear" w:color="auto" w:fill="FFFFFF"/>
        <w:tabs>
          <w:tab w:val="left" w:pos="5380"/>
        </w:tabs>
        <w:jc w:val="both"/>
        <w:rPr>
          <w:sz w:val="28"/>
          <w:szCs w:val="28"/>
          <w:lang w:val="uk-UA"/>
        </w:rPr>
      </w:pPr>
      <w:r w:rsidRPr="00CD677D">
        <w:rPr>
          <w:sz w:val="28"/>
          <w:szCs w:val="28"/>
          <w:lang w:val="uk-UA"/>
        </w:rPr>
        <w:t xml:space="preserve">        </w:t>
      </w:r>
      <w:r w:rsidR="00002841">
        <w:rPr>
          <w:sz w:val="28"/>
          <w:szCs w:val="28"/>
          <w:lang w:val="uk-UA"/>
        </w:rPr>
        <w:t xml:space="preserve">  </w:t>
      </w:r>
      <w:r w:rsidRPr="00CD677D">
        <w:rPr>
          <w:sz w:val="28"/>
          <w:szCs w:val="28"/>
          <w:lang w:val="uk-UA"/>
        </w:rPr>
        <w:t>Податковий борг, за інформацією Головного управління Державної податкової служби України в Одеській області станом на 1 грудня 2021 року по громаді склав 1995,3 тис.</w:t>
      </w:r>
      <w:r w:rsidR="00002841">
        <w:rPr>
          <w:sz w:val="28"/>
          <w:szCs w:val="28"/>
          <w:lang w:val="uk-UA"/>
        </w:rPr>
        <w:t xml:space="preserve"> </w:t>
      </w:r>
      <w:r w:rsidRPr="00CD677D">
        <w:rPr>
          <w:sz w:val="28"/>
          <w:szCs w:val="28"/>
          <w:lang w:val="uk-UA"/>
        </w:rPr>
        <w:t>грн., в тому числі по:</w:t>
      </w:r>
    </w:p>
    <w:p w:rsidR="00CD677D" w:rsidRPr="00CD677D" w:rsidRDefault="00CD677D" w:rsidP="00AD0ED5">
      <w:pPr>
        <w:shd w:val="clear" w:color="auto" w:fill="FFFFFF"/>
        <w:tabs>
          <w:tab w:val="left" w:pos="5380"/>
        </w:tabs>
        <w:ind w:firstLine="720"/>
        <w:jc w:val="both"/>
        <w:rPr>
          <w:sz w:val="28"/>
          <w:szCs w:val="28"/>
          <w:lang w:val="uk-UA"/>
        </w:rPr>
      </w:pPr>
      <w:r w:rsidRPr="00CD677D">
        <w:rPr>
          <w:sz w:val="28"/>
          <w:szCs w:val="28"/>
          <w:lang w:val="uk-UA"/>
        </w:rPr>
        <w:lastRenderedPageBreak/>
        <w:t>- ПДФО – 34,6 тис.</w:t>
      </w:r>
      <w:r w:rsidR="00002841">
        <w:rPr>
          <w:sz w:val="28"/>
          <w:szCs w:val="28"/>
          <w:lang w:val="uk-UA"/>
        </w:rPr>
        <w:t xml:space="preserve"> </w:t>
      </w:r>
      <w:r w:rsidRPr="00CD677D">
        <w:rPr>
          <w:sz w:val="28"/>
          <w:szCs w:val="28"/>
          <w:lang w:val="uk-UA"/>
        </w:rPr>
        <w:t xml:space="preserve">грн., </w:t>
      </w:r>
      <w:r w:rsidRPr="00002841">
        <w:rPr>
          <w:lang w:val="uk-UA"/>
        </w:rPr>
        <w:t>(ТОВ «АНАНЬЇВСЬКА СОНЯЧНА ЕЛЕКТРИЧНА СТАНЦІЯ» борг виник у 2021 році по актам перевірки за 2020 рік);</w:t>
      </w:r>
    </w:p>
    <w:p w:rsidR="00CD677D" w:rsidRPr="00CD677D" w:rsidRDefault="00002841" w:rsidP="00AD0ED5">
      <w:pPr>
        <w:shd w:val="clear" w:color="auto" w:fill="FFFFFF"/>
        <w:tabs>
          <w:tab w:val="left" w:pos="5380"/>
        </w:tabs>
        <w:jc w:val="both"/>
        <w:rPr>
          <w:sz w:val="28"/>
          <w:szCs w:val="28"/>
          <w:lang w:val="uk-UA"/>
        </w:rPr>
      </w:pPr>
      <w:r>
        <w:rPr>
          <w:sz w:val="28"/>
          <w:szCs w:val="28"/>
          <w:lang w:val="uk-UA"/>
        </w:rPr>
        <w:t xml:space="preserve">          </w:t>
      </w:r>
      <w:r w:rsidR="00CD677D" w:rsidRPr="00CD677D">
        <w:rPr>
          <w:sz w:val="28"/>
          <w:szCs w:val="28"/>
          <w:lang w:val="uk-UA"/>
        </w:rPr>
        <w:t>- зем</w:t>
      </w:r>
      <w:r>
        <w:rPr>
          <w:sz w:val="28"/>
          <w:szCs w:val="28"/>
          <w:lang w:val="uk-UA"/>
        </w:rPr>
        <w:t>е</w:t>
      </w:r>
      <w:r w:rsidR="00CD677D" w:rsidRPr="00CD677D">
        <w:rPr>
          <w:sz w:val="28"/>
          <w:szCs w:val="28"/>
          <w:lang w:val="uk-UA"/>
        </w:rPr>
        <w:t>льний податок та орендна плата – 1955,9 тис.</w:t>
      </w:r>
      <w:r>
        <w:rPr>
          <w:sz w:val="28"/>
          <w:szCs w:val="28"/>
          <w:lang w:val="uk-UA"/>
        </w:rPr>
        <w:t xml:space="preserve"> </w:t>
      </w:r>
      <w:r w:rsidR="00CD677D" w:rsidRPr="00CD677D">
        <w:rPr>
          <w:sz w:val="28"/>
          <w:szCs w:val="28"/>
          <w:lang w:val="uk-UA"/>
        </w:rPr>
        <w:t>грн</w:t>
      </w:r>
      <w:r w:rsidR="00CD677D" w:rsidRPr="00002841">
        <w:rPr>
          <w:lang w:val="uk-UA"/>
        </w:rPr>
        <w:t>., (в тому числі ТОВ «</w:t>
      </w:r>
      <w:proofErr w:type="spellStart"/>
      <w:r w:rsidR="00CD677D" w:rsidRPr="00002841">
        <w:rPr>
          <w:lang w:val="uk-UA"/>
        </w:rPr>
        <w:t>Бріз</w:t>
      </w:r>
      <w:proofErr w:type="spellEnd"/>
      <w:r w:rsidR="00CD677D" w:rsidRPr="00002841">
        <w:rPr>
          <w:lang w:val="uk-UA"/>
        </w:rPr>
        <w:t xml:space="preserve"> </w:t>
      </w:r>
      <w:proofErr w:type="spellStart"/>
      <w:r w:rsidR="00CD677D" w:rsidRPr="00002841">
        <w:rPr>
          <w:lang w:val="uk-UA"/>
        </w:rPr>
        <w:t>Солар</w:t>
      </w:r>
      <w:proofErr w:type="spellEnd"/>
      <w:r w:rsidR="00CD677D" w:rsidRPr="00002841">
        <w:rPr>
          <w:lang w:val="uk-UA"/>
        </w:rPr>
        <w:t>» - 1018,5 тис.</w:t>
      </w:r>
      <w:r>
        <w:rPr>
          <w:lang w:val="uk-UA"/>
        </w:rPr>
        <w:t xml:space="preserve"> </w:t>
      </w:r>
      <w:r w:rsidR="00CD677D" w:rsidRPr="00002841">
        <w:rPr>
          <w:lang w:val="uk-UA"/>
        </w:rPr>
        <w:t>грн.,- борг виник з листопада місяця 2019 року;  ТОВ «АНАНЬЇВСЬКА СОНЯЧНА ЕЛЕКТРИЧНА СТАНЦІЯ» - 899,5 тис.</w:t>
      </w:r>
      <w:r>
        <w:rPr>
          <w:lang w:val="uk-UA"/>
        </w:rPr>
        <w:t xml:space="preserve"> </w:t>
      </w:r>
      <w:r w:rsidR="00CD677D" w:rsidRPr="00002841">
        <w:rPr>
          <w:lang w:val="uk-UA"/>
        </w:rPr>
        <w:t>грн. борг виник з листопада 2019 року);</w:t>
      </w:r>
    </w:p>
    <w:p w:rsidR="00CD677D" w:rsidRPr="00CD677D" w:rsidRDefault="00002841" w:rsidP="00AD0ED5">
      <w:pPr>
        <w:shd w:val="clear" w:color="auto" w:fill="FFFFFF"/>
        <w:tabs>
          <w:tab w:val="left" w:pos="5380"/>
        </w:tabs>
        <w:jc w:val="both"/>
        <w:rPr>
          <w:sz w:val="28"/>
          <w:szCs w:val="28"/>
          <w:lang w:val="uk-UA"/>
        </w:rPr>
      </w:pPr>
      <w:r>
        <w:rPr>
          <w:sz w:val="28"/>
          <w:szCs w:val="28"/>
          <w:lang w:val="uk-UA"/>
        </w:rPr>
        <w:t xml:space="preserve"> </w:t>
      </w:r>
      <w:r w:rsidR="00AD0ED5">
        <w:rPr>
          <w:sz w:val="28"/>
          <w:szCs w:val="28"/>
          <w:lang w:val="uk-UA"/>
        </w:rPr>
        <w:t xml:space="preserve">         </w:t>
      </w:r>
      <w:r w:rsidR="00CD677D" w:rsidRPr="00CD677D">
        <w:rPr>
          <w:sz w:val="28"/>
          <w:szCs w:val="28"/>
          <w:lang w:val="uk-UA"/>
        </w:rPr>
        <w:t>- інші податки та збори – 4,8 тис.</w:t>
      </w:r>
      <w:r>
        <w:rPr>
          <w:sz w:val="28"/>
          <w:szCs w:val="28"/>
          <w:lang w:val="uk-UA"/>
        </w:rPr>
        <w:t xml:space="preserve"> </w:t>
      </w:r>
      <w:r w:rsidR="00CD677D" w:rsidRPr="00CD677D">
        <w:rPr>
          <w:sz w:val="28"/>
          <w:szCs w:val="28"/>
          <w:lang w:val="uk-UA"/>
        </w:rPr>
        <w:t>грн.</w:t>
      </w:r>
    </w:p>
    <w:p w:rsidR="00CD677D" w:rsidRPr="00002841" w:rsidRDefault="00CD677D" w:rsidP="00AD0ED5">
      <w:pPr>
        <w:shd w:val="clear" w:color="auto" w:fill="FFFFFF"/>
        <w:tabs>
          <w:tab w:val="left" w:pos="709"/>
          <w:tab w:val="left" w:pos="851"/>
        </w:tabs>
        <w:jc w:val="both"/>
        <w:rPr>
          <w:sz w:val="28"/>
          <w:szCs w:val="28"/>
          <w:lang w:val="uk-UA"/>
        </w:rPr>
      </w:pPr>
      <w:r w:rsidRPr="00CD677D">
        <w:rPr>
          <w:sz w:val="28"/>
          <w:szCs w:val="28"/>
          <w:lang w:val="uk-UA"/>
        </w:rPr>
        <w:t xml:space="preserve">        </w:t>
      </w:r>
      <w:r w:rsidR="00002841">
        <w:rPr>
          <w:sz w:val="28"/>
          <w:szCs w:val="28"/>
          <w:lang w:val="uk-UA"/>
        </w:rPr>
        <w:t xml:space="preserve">  </w:t>
      </w:r>
      <w:r w:rsidRPr="00002841">
        <w:rPr>
          <w:sz w:val="28"/>
          <w:szCs w:val="28"/>
          <w:lang w:val="uk-UA"/>
        </w:rPr>
        <w:t>З метою забезпечення виконання бюджету та покращення соціально-економічного стану територіальної громади проведена наступна робота:</w:t>
      </w:r>
    </w:p>
    <w:p w:rsidR="00CD677D" w:rsidRPr="00002841" w:rsidRDefault="00002841" w:rsidP="00AD0ED5">
      <w:pPr>
        <w:tabs>
          <w:tab w:val="left" w:pos="709"/>
        </w:tabs>
        <w:jc w:val="both"/>
        <w:rPr>
          <w:sz w:val="28"/>
          <w:szCs w:val="28"/>
          <w:lang w:val="uk-UA"/>
        </w:rPr>
      </w:pPr>
      <w:r>
        <w:rPr>
          <w:sz w:val="28"/>
          <w:szCs w:val="28"/>
          <w:lang w:val="uk-UA"/>
        </w:rPr>
        <w:t xml:space="preserve">          - </w:t>
      </w:r>
      <w:r w:rsidR="00CD677D" w:rsidRPr="00002841">
        <w:rPr>
          <w:sz w:val="28"/>
          <w:szCs w:val="28"/>
          <w:lang w:val="uk-UA"/>
        </w:rPr>
        <w:t>Здійснюється своєчасний та належний контроль за станом економічного розвитку Ананьївської міської територіальної громади, темп росту податку на доходи фізичних осіб за 12</w:t>
      </w:r>
      <w:r w:rsidR="00587DA8">
        <w:rPr>
          <w:sz w:val="28"/>
          <w:szCs w:val="28"/>
          <w:lang w:val="uk-UA"/>
        </w:rPr>
        <w:t xml:space="preserve"> місяців 2021 року складає   </w:t>
      </w:r>
      <w:r>
        <w:rPr>
          <w:sz w:val="28"/>
          <w:szCs w:val="28"/>
          <w:lang w:val="uk-UA"/>
        </w:rPr>
        <w:t>117,2</w:t>
      </w:r>
      <w:r w:rsidR="00CD677D" w:rsidRPr="00002841">
        <w:rPr>
          <w:sz w:val="28"/>
          <w:szCs w:val="28"/>
          <w:lang w:val="uk-UA"/>
        </w:rPr>
        <w:t xml:space="preserve"> %.</w:t>
      </w:r>
    </w:p>
    <w:p w:rsidR="00CD677D" w:rsidRPr="00002841" w:rsidRDefault="00CD677D" w:rsidP="00002841">
      <w:pPr>
        <w:tabs>
          <w:tab w:val="left" w:pos="709"/>
        </w:tabs>
        <w:jc w:val="both"/>
        <w:rPr>
          <w:sz w:val="28"/>
          <w:szCs w:val="28"/>
          <w:lang w:val="uk-UA"/>
        </w:rPr>
      </w:pPr>
      <w:r w:rsidRPr="00002841">
        <w:rPr>
          <w:sz w:val="28"/>
          <w:szCs w:val="28"/>
          <w:lang w:val="uk-UA"/>
        </w:rPr>
        <w:t xml:space="preserve">        </w:t>
      </w:r>
      <w:r w:rsidR="00002841">
        <w:rPr>
          <w:sz w:val="28"/>
          <w:szCs w:val="28"/>
          <w:lang w:val="uk-UA"/>
        </w:rPr>
        <w:t xml:space="preserve">  </w:t>
      </w:r>
      <w:r w:rsidRPr="00002841">
        <w:rPr>
          <w:sz w:val="28"/>
          <w:szCs w:val="28"/>
          <w:lang w:val="uk-UA"/>
        </w:rPr>
        <w:t>Щодо залучення до сплати податку на доходи фізичних осіб відокремлених підрозділів: Головного управління національної поліції в Одеській області на</w:t>
      </w:r>
      <w:r w:rsidR="00002841">
        <w:rPr>
          <w:sz w:val="28"/>
          <w:szCs w:val="28"/>
          <w:lang w:val="uk-UA"/>
        </w:rPr>
        <w:t>правлені листи від 06.05.2021 №</w:t>
      </w:r>
      <w:r w:rsidRPr="00002841">
        <w:rPr>
          <w:sz w:val="28"/>
          <w:szCs w:val="28"/>
          <w:lang w:val="uk-UA"/>
        </w:rPr>
        <w:t xml:space="preserve">1168 </w:t>
      </w:r>
      <w:r w:rsidR="00002841">
        <w:rPr>
          <w:sz w:val="28"/>
          <w:szCs w:val="28"/>
          <w:shd w:val="clear" w:color="auto" w:fill="FFFFFF"/>
          <w:lang w:val="uk-UA"/>
        </w:rPr>
        <w:t>та від 08.11.2021 року №3425</w:t>
      </w:r>
      <w:r w:rsidRPr="00002841">
        <w:rPr>
          <w:sz w:val="28"/>
          <w:szCs w:val="28"/>
          <w:shd w:val="clear" w:color="auto" w:fill="FFFFFF"/>
          <w:lang w:val="uk-UA"/>
        </w:rPr>
        <w:t xml:space="preserve">, щодо розгляду питання сплати податку на доходи фізичних осіб за найманих працівників, що працюють в Ананьївському секторі до бюджету Ананьївської міської територіальної громади </w:t>
      </w:r>
      <w:r w:rsidRPr="00002841">
        <w:rPr>
          <w:sz w:val="28"/>
          <w:szCs w:val="28"/>
          <w:lang w:val="uk-UA"/>
        </w:rPr>
        <w:t>та ДУ «Одеській ОЦКПХ МОЗ України» на</w:t>
      </w:r>
      <w:r w:rsidR="00002841">
        <w:rPr>
          <w:sz w:val="28"/>
          <w:szCs w:val="28"/>
          <w:lang w:val="uk-UA"/>
        </w:rPr>
        <w:t>правлено листа від 24.09.2021 №</w:t>
      </w:r>
      <w:r w:rsidRPr="00002841">
        <w:rPr>
          <w:sz w:val="28"/>
          <w:szCs w:val="28"/>
          <w:lang w:val="uk-UA"/>
        </w:rPr>
        <w:t xml:space="preserve">3006, що розташовані на території Ананьївської міської ради та використовують місцеву найману працю (ДУ «Одеській ОЦКПХ МОЗ України» – з 28.10.2021року почали перераховувати ПДФО від заробітної плати до бюджету Ананьївської міської територіальної громади). </w:t>
      </w:r>
    </w:p>
    <w:p w:rsidR="00CD677D" w:rsidRPr="00002841" w:rsidRDefault="00002841" w:rsidP="00002841">
      <w:pPr>
        <w:tabs>
          <w:tab w:val="left" w:pos="709"/>
        </w:tabs>
        <w:jc w:val="both"/>
        <w:rPr>
          <w:sz w:val="28"/>
          <w:szCs w:val="28"/>
          <w:lang w:val="uk-UA"/>
        </w:rPr>
      </w:pPr>
      <w:r>
        <w:rPr>
          <w:sz w:val="28"/>
          <w:szCs w:val="28"/>
          <w:lang w:val="uk-UA"/>
        </w:rPr>
        <w:t xml:space="preserve">         </w:t>
      </w:r>
      <w:r w:rsidR="00CD677D" w:rsidRPr="00002841">
        <w:rPr>
          <w:sz w:val="28"/>
          <w:szCs w:val="28"/>
          <w:lang w:val="uk-UA"/>
        </w:rPr>
        <w:t xml:space="preserve"> </w:t>
      </w:r>
      <w:r w:rsidR="00444606">
        <w:rPr>
          <w:sz w:val="28"/>
          <w:szCs w:val="28"/>
          <w:lang w:val="uk-UA"/>
        </w:rPr>
        <w:t>- Проводиться роз’</w:t>
      </w:r>
      <w:r w:rsidR="00CD677D" w:rsidRPr="00002841">
        <w:rPr>
          <w:sz w:val="28"/>
          <w:szCs w:val="28"/>
          <w:lang w:val="uk-UA"/>
        </w:rPr>
        <w:t>яснювальна робота з платн</w:t>
      </w:r>
      <w:r w:rsidR="00444606">
        <w:rPr>
          <w:sz w:val="28"/>
          <w:szCs w:val="28"/>
          <w:lang w:val="uk-UA"/>
        </w:rPr>
        <w:t xml:space="preserve">иками податків та серед </w:t>
      </w:r>
      <w:proofErr w:type="spellStart"/>
      <w:r w:rsidR="00444606">
        <w:rPr>
          <w:sz w:val="28"/>
          <w:szCs w:val="28"/>
          <w:lang w:val="uk-UA"/>
        </w:rPr>
        <w:t>самозайн</w:t>
      </w:r>
      <w:r w:rsidR="00CD677D" w:rsidRPr="00002841">
        <w:rPr>
          <w:sz w:val="28"/>
          <w:szCs w:val="28"/>
          <w:lang w:val="uk-UA"/>
        </w:rPr>
        <w:t>ятого</w:t>
      </w:r>
      <w:proofErr w:type="spellEnd"/>
      <w:r w:rsidR="00CD677D" w:rsidRPr="00002841">
        <w:rPr>
          <w:sz w:val="28"/>
          <w:szCs w:val="28"/>
          <w:lang w:val="uk-UA"/>
        </w:rPr>
        <w:t xml:space="preserve"> населення з питань соціальної значимості добровільної і своєчасної сплати податків до бюджету міської ради.</w:t>
      </w:r>
    </w:p>
    <w:p w:rsidR="00CD677D" w:rsidRPr="00002841" w:rsidRDefault="00CD677D" w:rsidP="00CD677D">
      <w:pPr>
        <w:jc w:val="both"/>
        <w:outlineLvl w:val="2"/>
        <w:rPr>
          <w:sz w:val="28"/>
          <w:szCs w:val="28"/>
          <w:lang w:val="uk-UA"/>
        </w:rPr>
      </w:pPr>
      <w:r w:rsidRPr="00002841">
        <w:rPr>
          <w:sz w:val="28"/>
          <w:szCs w:val="28"/>
          <w:lang w:val="uk-UA"/>
        </w:rPr>
        <w:t xml:space="preserve">   </w:t>
      </w:r>
      <w:r w:rsidR="00002841">
        <w:rPr>
          <w:sz w:val="28"/>
          <w:szCs w:val="28"/>
          <w:lang w:val="uk-UA"/>
        </w:rPr>
        <w:t xml:space="preserve">      </w:t>
      </w:r>
      <w:r w:rsidRPr="00002841">
        <w:rPr>
          <w:sz w:val="28"/>
          <w:szCs w:val="28"/>
          <w:lang w:val="uk-UA"/>
        </w:rPr>
        <w:t xml:space="preserve"> - Проводиться інвентаризація договорів оренди на землю та земельних ділянок всіх форм власності, щомісячно надається до податкової перелік орендарів, з якими укладено та розірвано договори оренди землі державної або комунальної власності (236 договорів оренди, що переукладені, в тому числі 45 договорів нових);</w:t>
      </w:r>
    </w:p>
    <w:p w:rsidR="00CD677D" w:rsidRPr="00CD677D" w:rsidRDefault="00CD677D" w:rsidP="00002841">
      <w:pPr>
        <w:tabs>
          <w:tab w:val="left" w:pos="709"/>
        </w:tabs>
        <w:jc w:val="both"/>
        <w:rPr>
          <w:sz w:val="28"/>
          <w:szCs w:val="28"/>
          <w:lang w:val="uk-UA"/>
        </w:rPr>
      </w:pPr>
      <w:r w:rsidRPr="00002841">
        <w:rPr>
          <w:color w:val="000000"/>
          <w:sz w:val="28"/>
          <w:szCs w:val="28"/>
          <w:lang w:val="uk-UA"/>
        </w:rPr>
        <w:t xml:space="preserve">        </w:t>
      </w:r>
      <w:r w:rsidR="00002841">
        <w:rPr>
          <w:color w:val="000000"/>
          <w:sz w:val="28"/>
          <w:szCs w:val="28"/>
          <w:lang w:val="uk-UA"/>
        </w:rPr>
        <w:t xml:space="preserve">  -</w:t>
      </w:r>
      <w:r w:rsidRPr="00002841">
        <w:rPr>
          <w:color w:val="000000"/>
          <w:sz w:val="28"/>
          <w:szCs w:val="28"/>
          <w:lang w:val="uk-UA"/>
        </w:rPr>
        <w:t xml:space="preserve"> Прийнято Рішення </w:t>
      </w:r>
      <w:r w:rsidRPr="00002841">
        <w:rPr>
          <w:sz w:val="28"/>
          <w:szCs w:val="28"/>
          <w:lang w:val="uk-UA"/>
        </w:rPr>
        <w:t>Анан</w:t>
      </w:r>
      <w:r w:rsidR="00002841">
        <w:rPr>
          <w:sz w:val="28"/>
          <w:szCs w:val="28"/>
          <w:lang w:val="uk-UA"/>
        </w:rPr>
        <w:t xml:space="preserve">ьївської міської ради від 04 червня </w:t>
      </w:r>
      <w:r w:rsidRPr="00002841">
        <w:rPr>
          <w:sz w:val="28"/>
          <w:szCs w:val="28"/>
          <w:lang w:val="uk-UA"/>
        </w:rPr>
        <w:t>2021р</w:t>
      </w:r>
      <w:r w:rsidR="00002841">
        <w:rPr>
          <w:sz w:val="28"/>
          <w:szCs w:val="28"/>
          <w:lang w:val="uk-UA"/>
        </w:rPr>
        <w:t>оку  №</w:t>
      </w:r>
      <w:r w:rsidRPr="00002841">
        <w:rPr>
          <w:sz w:val="28"/>
          <w:szCs w:val="28"/>
          <w:lang w:val="uk-UA"/>
        </w:rPr>
        <w:t>210-</w:t>
      </w:r>
      <w:r w:rsidRPr="00002841">
        <w:rPr>
          <w:sz w:val="28"/>
          <w:szCs w:val="28"/>
          <w:lang w:val="en-US"/>
        </w:rPr>
        <w:t>VIII</w:t>
      </w:r>
      <w:r w:rsidRPr="00002841">
        <w:rPr>
          <w:sz w:val="28"/>
          <w:szCs w:val="28"/>
          <w:lang w:val="uk-UA"/>
        </w:rPr>
        <w:t xml:space="preserve"> «Про встановлення місцевих податків та зборів на території Ананьївської міської територіальної громади» та Рішення Анан</w:t>
      </w:r>
      <w:r w:rsidR="00002841">
        <w:rPr>
          <w:sz w:val="28"/>
          <w:szCs w:val="28"/>
          <w:lang w:val="uk-UA"/>
        </w:rPr>
        <w:t>ьївської міської ради від 04 червня 2021року №</w:t>
      </w:r>
      <w:r w:rsidRPr="00002841">
        <w:rPr>
          <w:sz w:val="28"/>
          <w:szCs w:val="28"/>
          <w:lang w:val="uk-UA"/>
        </w:rPr>
        <w:t>209-</w:t>
      </w:r>
      <w:r w:rsidRPr="00002841">
        <w:rPr>
          <w:sz w:val="28"/>
          <w:szCs w:val="28"/>
          <w:lang w:val="en-US"/>
        </w:rPr>
        <w:t>VIII</w:t>
      </w:r>
      <w:r w:rsidRPr="00002841">
        <w:rPr>
          <w:sz w:val="28"/>
          <w:szCs w:val="28"/>
          <w:lang w:val="uk-UA"/>
        </w:rPr>
        <w:t xml:space="preserve"> «Про транспортний податок на 2022 рік».</w:t>
      </w:r>
      <w:r w:rsidRPr="00002841">
        <w:rPr>
          <w:color w:val="000000"/>
          <w:sz w:val="28"/>
          <w:szCs w:val="28"/>
          <w:lang w:val="uk-UA"/>
        </w:rPr>
        <w:t xml:space="preserve"> </w:t>
      </w:r>
    </w:p>
    <w:p w:rsidR="00CD677D" w:rsidRPr="00CD677D" w:rsidRDefault="00CD677D" w:rsidP="00002841">
      <w:pPr>
        <w:tabs>
          <w:tab w:val="left" w:pos="709"/>
        </w:tabs>
        <w:jc w:val="both"/>
        <w:rPr>
          <w:color w:val="000000"/>
          <w:szCs w:val="20"/>
          <w:lang w:val="uk-UA"/>
        </w:rPr>
      </w:pPr>
      <w:r w:rsidRPr="00CD677D">
        <w:rPr>
          <w:sz w:val="28"/>
          <w:szCs w:val="28"/>
          <w:lang w:val="uk-UA"/>
        </w:rPr>
        <w:t xml:space="preserve">         </w:t>
      </w:r>
      <w:r w:rsidR="00002841">
        <w:rPr>
          <w:sz w:val="28"/>
          <w:szCs w:val="28"/>
          <w:lang w:val="uk-UA"/>
        </w:rPr>
        <w:t xml:space="preserve"> </w:t>
      </w:r>
      <w:r w:rsidR="00002841">
        <w:rPr>
          <w:color w:val="000000"/>
          <w:sz w:val="28"/>
          <w:szCs w:val="28"/>
          <w:lang w:val="uk-UA"/>
        </w:rPr>
        <w:t>-</w:t>
      </w:r>
      <w:r w:rsidRPr="00CD677D">
        <w:rPr>
          <w:color w:val="000000"/>
          <w:sz w:val="28"/>
          <w:szCs w:val="28"/>
          <w:lang w:val="uk-UA"/>
        </w:rPr>
        <w:t xml:space="preserve"> Прийнято Рішення </w:t>
      </w:r>
      <w:r w:rsidRPr="00CD677D">
        <w:rPr>
          <w:sz w:val="28"/>
          <w:szCs w:val="28"/>
          <w:lang w:val="uk-UA"/>
        </w:rPr>
        <w:t>Анан</w:t>
      </w:r>
      <w:r w:rsidR="00002841">
        <w:rPr>
          <w:sz w:val="28"/>
          <w:szCs w:val="28"/>
          <w:lang w:val="uk-UA"/>
        </w:rPr>
        <w:t xml:space="preserve">ьївської міської ради від 03 вересня </w:t>
      </w:r>
      <w:r w:rsidRPr="00CD677D">
        <w:rPr>
          <w:sz w:val="28"/>
          <w:szCs w:val="28"/>
          <w:lang w:val="uk-UA"/>
        </w:rPr>
        <w:t>20</w:t>
      </w:r>
      <w:r w:rsidR="00002841">
        <w:rPr>
          <w:sz w:val="28"/>
          <w:szCs w:val="28"/>
          <w:lang w:val="uk-UA"/>
        </w:rPr>
        <w:t>21року №</w:t>
      </w:r>
      <w:r w:rsidRPr="00CD677D">
        <w:rPr>
          <w:sz w:val="28"/>
          <w:szCs w:val="28"/>
          <w:lang w:val="uk-UA"/>
        </w:rPr>
        <w:t>337-</w:t>
      </w:r>
      <w:r w:rsidRPr="00CD677D">
        <w:rPr>
          <w:sz w:val="28"/>
          <w:szCs w:val="28"/>
          <w:lang w:val="en-US"/>
        </w:rPr>
        <w:t>VIII</w:t>
      </w:r>
      <w:r w:rsidRPr="00CD677D">
        <w:rPr>
          <w:sz w:val="28"/>
          <w:szCs w:val="28"/>
          <w:lang w:val="uk-UA"/>
        </w:rPr>
        <w:t xml:space="preserve"> «Про схвалення Прогнозу бюджету Ананьївської міської територіальної громади на 2022-2024 роки»</w:t>
      </w:r>
    </w:p>
    <w:p w:rsidR="00CD677D" w:rsidRPr="00CD677D" w:rsidRDefault="00CD677D" w:rsidP="00002841">
      <w:pPr>
        <w:tabs>
          <w:tab w:val="left" w:pos="709"/>
        </w:tabs>
        <w:jc w:val="both"/>
        <w:rPr>
          <w:szCs w:val="20"/>
          <w:lang w:val="uk-UA"/>
        </w:rPr>
      </w:pPr>
      <w:r w:rsidRPr="00CD677D">
        <w:rPr>
          <w:sz w:val="28"/>
          <w:szCs w:val="28"/>
          <w:lang w:val="uk-UA"/>
        </w:rPr>
        <w:t xml:space="preserve">        </w:t>
      </w:r>
      <w:r w:rsidR="00002841">
        <w:rPr>
          <w:sz w:val="28"/>
          <w:szCs w:val="28"/>
          <w:lang w:val="uk-UA"/>
        </w:rPr>
        <w:t xml:space="preserve">  </w:t>
      </w:r>
      <w:r w:rsidRPr="00CD677D">
        <w:rPr>
          <w:sz w:val="28"/>
          <w:szCs w:val="28"/>
          <w:lang w:val="uk-UA"/>
        </w:rPr>
        <w:t>- Прийнято розпорядження Анан</w:t>
      </w:r>
      <w:r w:rsidR="00002841">
        <w:rPr>
          <w:sz w:val="28"/>
          <w:szCs w:val="28"/>
          <w:lang w:val="uk-UA"/>
        </w:rPr>
        <w:t>ьївської міської ради від 18 березня 2021року №</w:t>
      </w:r>
      <w:r w:rsidRPr="00CD677D">
        <w:rPr>
          <w:sz w:val="28"/>
          <w:szCs w:val="28"/>
          <w:lang w:val="uk-UA"/>
        </w:rPr>
        <w:t>53-о/д «Про Координаційну раду із забезпечення надходжень до бюджету  Ананьївської міської територіальної громади та повнотою сплати податкового боргу, заборгованості з</w:t>
      </w:r>
      <w:r w:rsidR="00002841">
        <w:rPr>
          <w:sz w:val="28"/>
          <w:szCs w:val="28"/>
          <w:lang w:val="uk-UA"/>
        </w:rPr>
        <w:t xml:space="preserve"> єдиного соціального внеску». З </w:t>
      </w:r>
      <w:r w:rsidRPr="00CD677D">
        <w:rPr>
          <w:sz w:val="28"/>
          <w:szCs w:val="28"/>
          <w:lang w:val="uk-UA"/>
        </w:rPr>
        <w:t>початку року проведено 2 засідання координаційної ради із заб</w:t>
      </w:r>
      <w:r w:rsidR="00587DA8">
        <w:rPr>
          <w:sz w:val="28"/>
          <w:szCs w:val="28"/>
          <w:lang w:val="uk-UA"/>
        </w:rPr>
        <w:t>езпечення надходжень до бюджету</w:t>
      </w:r>
      <w:r w:rsidRPr="00CD677D">
        <w:rPr>
          <w:sz w:val="28"/>
          <w:szCs w:val="28"/>
          <w:lang w:val="uk-UA"/>
        </w:rPr>
        <w:t xml:space="preserve"> Ананьївської міської територіальної громади та повнотою сплати </w:t>
      </w:r>
      <w:r w:rsidRPr="00CD677D">
        <w:rPr>
          <w:sz w:val="28"/>
          <w:szCs w:val="28"/>
          <w:lang w:val="uk-UA"/>
        </w:rPr>
        <w:lastRenderedPageBreak/>
        <w:t>податкового боргу, заборгованості з єдиного соціального внеску з питання розрахунків одноосібників у 2021 році щодо декларування доходів фізичних осіб за 2020 рік та стан нарахування земельного податку з фізичних осіб.</w:t>
      </w:r>
    </w:p>
    <w:p w:rsidR="00CD677D" w:rsidRPr="00CD677D" w:rsidRDefault="00CD677D" w:rsidP="005C37E8">
      <w:pPr>
        <w:jc w:val="both"/>
        <w:rPr>
          <w:sz w:val="28"/>
          <w:szCs w:val="28"/>
          <w:lang w:val="uk-UA"/>
        </w:rPr>
      </w:pPr>
      <w:r w:rsidRPr="00CD677D">
        <w:rPr>
          <w:sz w:val="28"/>
          <w:szCs w:val="28"/>
          <w:lang w:val="uk-UA"/>
        </w:rPr>
        <w:t xml:space="preserve">   </w:t>
      </w:r>
      <w:r w:rsidR="005C37E8">
        <w:rPr>
          <w:sz w:val="28"/>
          <w:szCs w:val="28"/>
          <w:lang w:val="uk-UA"/>
        </w:rPr>
        <w:t xml:space="preserve">       -</w:t>
      </w:r>
      <w:r w:rsidR="00587DA8">
        <w:rPr>
          <w:sz w:val="28"/>
          <w:szCs w:val="28"/>
          <w:lang w:val="uk-UA"/>
        </w:rPr>
        <w:t xml:space="preserve"> Рішенням сесії Ананьївської міської ради від 22 січня 2021 </w:t>
      </w:r>
      <w:r w:rsidRPr="00CD677D">
        <w:rPr>
          <w:sz w:val="28"/>
          <w:szCs w:val="28"/>
          <w:lang w:val="uk-UA"/>
        </w:rPr>
        <w:t>року №100-</w:t>
      </w:r>
      <w:r w:rsidRPr="00CD677D">
        <w:rPr>
          <w:sz w:val="28"/>
          <w:szCs w:val="28"/>
          <w:lang w:val="en-US"/>
        </w:rPr>
        <w:t>V</w:t>
      </w:r>
      <w:r w:rsidRPr="00CD677D">
        <w:rPr>
          <w:sz w:val="28"/>
          <w:szCs w:val="28"/>
          <w:lang w:val="uk-UA"/>
        </w:rPr>
        <w:t>ІІІ «Про затвердження Програми соціально-економічного та кул</w:t>
      </w:r>
      <w:r w:rsidR="00587DA8">
        <w:rPr>
          <w:sz w:val="28"/>
          <w:szCs w:val="28"/>
          <w:lang w:val="uk-UA"/>
        </w:rPr>
        <w:t xml:space="preserve">ьтурного розвитку Ананьївської </w:t>
      </w:r>
      <w:r w:rsidRPr="00CD677D">
        <w:rPr>
          <w:sz w:val="28"/>
          <w:szCs w:val="28"/>
          <w:lang w:val="uk-UA"/>
        </w:rPr>
        <w:t xml:space="preserve">міської територіальної громади на </w:t>
      </w:r>
      <w:r w:rsidR="00587DA8">
        <w:rPr>
          <w:sz w:val="28"/>
          <w:szCs w:val="28"/>
          <w:lang w:val="uk-UA"/>
        </w:rPr>
        <w:t xml:space="preserve">    </w:t>
      </w:r>
      <w:r w:rsidRPr="00CD677D">
        <w:rPr>
          <w:sz w:val="28"/>
          <w:szCs w:val="28"/>
          <w:lang w:val="uk-UA"/>
        </w:rPr>
        <w:t>2021 рік» затверджена Програма соціально-економічного та кул</w:t>
      </w:r>
      <w:r w:rsidR="00587DA8">
        <w:rPr>
          <w:sz w:val="28"/>
          <w:szCs w:val="28"/>
          <w:lang w:val="uk-UA"/>
        </w:rPr>
        <w:t xml:space="preserve">ьтурного розвитку Ананьївської </w:t>
      </w:r>
      <w:r w:rsidRPr="00CD677D">
        <w:rPr>
          <w:sz w:val="28"/>
          <w:szCs w:val="28"/>
          <w:lang w:val="uk-UA"/>
        </w:rPr>
        <w:t>міської територіальної громади на 2021 рік.</w:t>
      </w:r>
    </w:p>
    <w:p w:rsidR="00CD677D" w:rsidRPr="00CD677D" w:rsidRDefault="00CD677D" w:rsidP="00CD677D">
      <w:pPr>
        <w:jc w:val="both"/>
        <w:rPr>
          <w:sz w:val="28"/>
          <w:szCs w:val="28"/>
          <w:lang w:val="uk-UA"/>
        </w:rPr>
      </w:pPr>
      <w:r w:rsidRPr="00CD677D">
        <w:rPr>
          <w:sz w:val="28"/>
          <w:szCs w:val="28"/>
          <w:lang w:val="uk-UA"/>
        </w:rPr>
        <w:t xml:space="preserve">          - Рішенням сесії Анан</w:t>
      </w:r>
      <w:r w:rsidR="00CD0CDA">
        <w:rPr>
          <w:sz w:val="28"/>
          <w:szCs w:val="28"/>
          <w:lang w:val="uk-UA"/>
        </w:rPr>
        <w:t>ьївської міської ради від 30 квітня 2021        №</w:t>
      </w:r>
      <w:r w:rsidRPr="00CD677D">
        <w:rPr>
          <w:sz w:val="28"/>
          <w:szCs w:val="28"/>
          <w:lang w:val="uk-UA"/>
        </w:rPr>
        <w:t xml:space="preserve">193-VIII затверджена цільова програма «Розвиток малого і середнього підприємництва в </w:t>
      </w:r>
      <w:proofErr w:type="spellStart"/>
      <w:r w:rsidRPr="00CD677D">
        <w:rPr>
          <w:sz w:val="28"/>
          <w:szCs w:val="28"/>
          <w:lang w:val="uk-UA"/>
        </w:rPr>
        <w:t>Ананьївській</w:t>
      </w:r>
      <w:proofErr w:type="spellEnd"/>
      <w:r w:rsidRPr="00CD677D">
        <w:rPr>
          <w:sz w:val="28"/>
          <w:szCs w:val="28"/>
          <w:lang w:val="uk-UA"/>
        </w:rPr>
        <w:t xml:space="preserve"> міській територіальній громаді на </w:t>
      </w:r>
      <w:r w:rsidR="00CD0CDA">
        <w:rPr>
          <w:sz w:val="28"/>
          <w:szCs w:val="28"/>
          <w:lang w:val="uk-UA"/>
        </w:rPr>
        <w:t xml:space="preserve">             </w:t>
      </w:r>
      <w:r w:rsidRPr="00CD677D">
        <w:rPr>
          <w:sz w:val="28"/>
          <w:szCs w:val="28"/>
          <w:lang w:val="uk-UA"/>
        </w:rPr>
        <w:t>2021 - 2023 роки».</w:t>
      </w:r>
    </w:p>
    <w:p w:rsidR="00CD677D" w:rsidRPr="00CD677D" w:rsidRDefault="00CD0CDA" w:rsidP="00CD0CDA">
      <w:pPr>
        <w:tabs>
          <w:tab w:val="left" w:pos="709"/>
        </w:tabs>
        <w:jc w:val="both"/>
        <w:rPr>
          <w:sz w:val="28"/>
          <w:szCs w:val="28"/>
          <w:lang w:val="uk-UA"/>
        </w:rPr>
      </w:pPr>
      <w:r>
        <w:rPr>
          <w:sz w:val="28"/>
          <w:szCs w:val="28"/>
          <w:lang w:val="uk-UA"/>
        </w:rPr>
        <w:t xml:space="preserve">          -</w:t>
      </w:r>
      <w:r w:rsidR="00CD677D" w:rsidRPr="00CD677D">
        <w:rPr>
          <w:sz w:val="28"/>
          <w:szCs w:val="28"/>
          <w:lang w:val="uk-UA"/>
        </w:rPr>
        <w:t xml:space="preserve"> Налагоджена та організована співпрац</w:t>
      </w:r>
      <w:r>
        <w:rPr>
          <w:sz w:val="28"/>
          <w:szCs w:val="28"/>
          <w:lang w:val="uk-UA"/>
        </w:rPr>
        <w:t xml:space="preserve">я з податковими органами,      07 вересня 2021 року та 13 вересня </w:t>
      </w:r>
      <w:r w:rsidR="00CD677D" w:rsidRPr="00CD677D">
        <w:rPr>
          <w:sz w:val="28"/>
          <w:szCs w:val="28"/>
          <w:lang w:val="uk-UA"/>
        </w:rPr>
        <w:t xml:space="preserve">2021 року проведено семінар-наради </w:t>
      </w:r>
      <w:r>
        <w:rPr>
          <w:sz w:val="28"/>
          <w:szCs w:val="28"/>
          <w:lang w:val="uk-UA"/>
        </w:rPr>
        <w:t xml:space="preserve">         </w:t>
      </w:r>
      <w:r w:rsidR="00CD677D" w:rsidRPr="00CD677D">
        <w:rPr>
          <w:sz w:val="28"/>
          <w:szCs w:val="28"/>
          <w:lang w:val="uk-UA"/>
        </w:rPr>
        <w:t>ГУ ДПС в Одеській області за темою «Про взаємодію Головного управління ДПС в Одеській області з територіальними громадами області з питань адмініструван</w:t>
      </w:r>
      <w:r w:rsidR="00587DA8">
        <w:rPr>
          <w:sz w:val="28"/>
          <w:szCs w:val="28"/>
          <w:lang w:val="uk-UA"/>
        </w:rPr>
        <w:t>ня місцевих податків і зборів».</w:t>
      </w:r>
      <w:r w:rsidR="00CD677D" w:rsidRPr="00CD677D">
        <w:rPr>
          <w:sz w:val="28"/>
          <w:szCs w:val="28"/>
          <w:lang w:val="uk-UA"/>
        </w:rPr>
        <w:t xml:space="preserve"> Налагодж</w:t>
      </w:r>
      <w:r>
        <w:rPr>
          <w:sz w:val="28"/>
          <w:szCs w:val="28"/>
          <w:lang w:val="uk-UA"/>
        </w:rPr>
        <w:t>ена та організована співпраця з</w:t>
      </w:r>
      <w:r w:rsidR="00CD677D" w:rsidRPr="00CD677D">
        <w:rPr>
          <w:sz w:val="28"/>
          <w:szCs w:val="28"/>
          <w:lang w:val="uk-UA"/>
        </w:rPr>
        <w:t xml:space="preserve"> інспекцією </w:t>
      </w:r>
      <w:proofErr w:type="spellStart"/>
      <w:r w:rsidR="00CD677D" w:rsidRPr="00CD677D">
        <w:rPr>
          <w:sz w:val="28"/>
          <w:szCs w:val="28"/>
          <w:lang w:val="uk-UA"/>
        </w:rPr>
        <w:t>Держпраці</w:t>
      </w:r>
      <w:proofErr w:type="spellEnd"/>
      <w:r w:rsidR="00CD677D" w:rsidRPr="00CD677D">
        <w:rPr>
          <w:sz w:val="28"/>
          <w:szCs w:val="28"/>
          <w:lang w:val="uk-UA"/>
        </w:rPr>
        <w:t xml:space="preserve"> щодо контролю за дотриманням законодавства про працю та зайнятість населення з метою збільшення надходжень до бюджету податку з доходів фізичних осіб.</w:t>
      </w:r>
    </w:p>
    <w:p w:rsidR="00CD677D" w:rsidRPr="00CD677D" w:rsidRDefault="00CD677D" w:rsidP="00CD677D">
      <w:pPr>
        <w:ind w:firstLine="708"/>
        <w:jc w:val="both"/>
        <w:rPr>
          <w:sz w:val="28"/>
          <w:szCs w:val="28"/>
          <w:lang w:val="uk-UA"/>
        </w:rPr>
      </w:pPr>
      <w:r w:rsidRPr="00CD0CDA">
        <w:rPr>
          <w:color w:val="000000"/>
          <w:sz w:val="28"/>
          <w:szCs w:val="28"/>
          <w:lang w:val="uk-UA"/>
        </w:rPr>
        <w:t>- Рішенням виконавчого комітету Анан</w:t>
      </w:r>
      <w:r w:rsidR="00CD0CDA">
        <w:rPr>
          <w:color w:val="000000"/>
          <w:sz w:val="28"/>
          <w:szCs w:val="28"/>
          <w:lang w:val="uk-UA"/>
        </w:rPr>
        <w:t xml:space="preserve">ьївської міської ради від </w:t>
      </w:r>
      <w:r w:rsidR="00587DA8">
        <w:rPr>
          <w:color w:val="000000"/>
          <w:sz w:val="28"/>
          <w:szCs w:val="28"/>
          <w:lang w:val="uk-UA"/>
        </w:rPr>
        <w:t xml:space="preserve">          27 травня</w:t>
      </w:r>
      <w:r w:rsidR="00CD0CDA">
        <w:rPr>
          <w:color w:val="000000"/>
          <w:sz w:val="28"/>
          <w:szCs w:val="28"/>
          <w:lang w:val="uk-UA"/>
        </w:rPr>
        <w:t xml:space="preserve"> </w:t>
      </w:r>
      <w:r w:rsidRPr="00CD0CDA">
        <w:rPr>
          <w:color w:val="000000"/>
          <w:sz w:val="28"/>
          <w:szCs w:val="28"/>
          <w:lang w:val="uk-UA"/>
        </w:rPr>
        <w:t>2021</w:t>
      </w:r>
      <w:r w:rsidRPr="00CD677D">
        <w:rPr>
          <w:color w:val="000000"/>
          <w:sz w:val="28"/>
          <w:szCs w:val="28"/>
        </w:rPr>
        <w:t> </w:t>
      </w:r>
      <w:r w:rsidRPr="00CD677D">
        <w:rPr>
          <w:color w:val="000000"/>
          <w:sz w:val="28"/>
          <w:szCs w:val="28"/>
          <w:lang w:val="uk-UA"/>
        </w:rPr>
        <w:t xml:space="preserve">року №158 створена робоча група з питань легалізації виплати заробітної плати та зайнятості населення Ананьївської міської територіальної громади. </w:t>
      </w:r>
      <w:r w:rsidRPr="00CD677D">
        <w:rPr>
          <w:sz w:val="28"/>
          <w:szCs w:val="28"/>
          <w:lang w:val="uk-UA"/>
        </w:rPr>
        <w:t>З початку 2021 року було проведено три засідання Робочої групи з питань легалізації виплати заробітної плати та зайнятості населення, в ході яких було розглянуто листи від Подільської державної адміністрації, ГУ ДПС в Одеській області, ГУ Пенсійного фонду України в Одеській області. За наданою інформацією було проведено детальний аналіз стану нарахування та виплати заробітної плати. Надіслані листи підприємствам, які нарахували середньомісячну заробітну плату працівникам нижче встановленого законодавством мінімального розміру. Відповіді були ретельно розглянуті членами Робочої групи.</w:t>
      </w:r>
    </w:p>
    <w:p w:rsidR="00CD677D" w:rsidRPr="00CD677D" w:rsidRDefault="00CD677D" w:rsidP="00CD677D">
      <w:pPr>
        <w:jc w:val="both"/>
        <w:rPr>
          <w:color w:val="000000"/>
          <w:szCs w:val="20"/>
        </w:rPr>
      </w:pPr>
      <w:r w:rsidRPr="00CD677D">
        <w:rPr>
          <w:color w:val="000000"/>
          <w:sz w:val="28"/>
          <w:szCs w:val="28"/>
        </w:rPr>
        <w:t xml:space="preserve">         - </w:t>
      </w:r>
      <w:proofErr w:type="spellStart"/>
      <w:r w:rsidRPr="00CD677D">
        <w:rPr>
          <w:color w:val="000000"/>
          <w:sz w:val="28"/>
          <w:szCs w:val="28"/>
        </w:rPr>
        <w:t>Ананьївською</w:t>
      </w:r>
      <w:proofErr w:type="spellEnd"/>
      <w:r w:rsidRPr="00CD677D">
        <w:rPr>
          <w:color w:val="000000"/>
          <w:sz w:val="28"/>
          <w:szCs w:val="28"/>
        </w:rPr>
        <w:t xml:space="preserve"> </w:t>
      </w:r>
      <w:proofErr w:type="spellStart"/>
      <w:r w:rsidRPr="00CD677D">
        <w:rPr>
          <w:color w:val="000000"/>
          <w:sz w:val="28"/>
          <w:szCs w:val="28"/>
        </w:rPr>
        <w:t>міською</w:t>
      </w:r>
      <w:proofErr w:type="spellEnd"/>
      <w:r w:rsidRPr="00CD677D">
        <w:rPr>
          <w:color w:val="000000"/>
          <w:sz w:val="28"/>
          <w:szCs w:val="28"/>
        </w:rPr>
        <w:t xml:space="preserve"> радою </w:t>
      </w:r>
      <w:proofErr w:type="spellStart"/>
      <w:r w:rsidRPr="00CD677D">
        <w:rPr>
          <w:color w:val="000000"/>
          <w:sz w:val="28"/>
          <w:szCs w:val="28"/>
        </w:rPr>
        <w:t>ведеться</w:t>
      </w:r>
      <w:proofErr w:type="spellEnd"/>
      <w:r w:rsidRPr="00CD677D">
        <w:rPr>
          <w:color w:val="000000"/>
          <w:sz w:val="28"/>
          <w:szCs w:val="28"/>
        </w:rPr>
        <w:t xml:space="preserve"> </w:t>
      </w:r>
      <w:proofErr w:type="spellStart"/>
      <w:r w:rsidRPr="00CD677D">
        <w:rPr>
          <w:color w:val="000000"/>
          <w:sz w:val="28"/>
          <w:szCs w:val="28"/>
        </w:rPr>
        <w:t>претензійно</w:t>
      </w:r>
      <w:proofErr w:type="spellEnd"/>
      <w:r w:rsidRPr="00CD677D">
        <w:rPr>
          <w:color w:val="000000"/>
          <w:sz w:val="28"/>
          <w:szCs w:val="28"/>
        </w:rPr>
        <w:t xml:space="preserve"> – </w:t>
      </w:r>
      <w:proofErr w:type="spellStart"/>
      <w:r w:rsidRPr="00CD677D">
        <w:rPr>
          <w:color w:val="000000"/>
          <w:sz w:val="28"/>
          <w:szCs w:val="28"/>
        </w:rPr>
        <w:t>позовна</w:t>
      </w:r>
      <w:proofErr w:type="spellEnd"/>
      <w:r w:rsidRPr="00CD677D">
        <w:rPr>
          <w:color w:val="000000"/>
          <w:sz w:val="28"/>
          <w:szCs w:val="28"/>
        </w:rPr>
        <w:t xml:space="preserve"> робота з </w:t>
      </w:r>
      <w:proofErr w:type="spellStart"/>
      <w:r w:rsidRPr="00CD677D">
        <w:rPr>
          <w:color w:val="000000"/>
          <w:sz w:val="28"/>
          <w:szCs w:val="28"/>
        </w:rPr>
        <w:t>боржниками</w:t>
      </w:r>
      <w:proofErr w:type="spellEnd"/>
      <w:r w:rsidRPr="00CD677D">
        <w:rPr>
          <w:color w:val="000000"/>
          <w:sz w:val="28"/>
          <w:szCs w:val="28"/>
        </w:rPr>
        <w:t>.</w:t>
      </w:r>
    </w:p>
    <w:p w:rsidR="00CD677D" w:rsidRPr="00CD677D" w:rsidRDefault="00CD677D" w:rsidP="00CD0CDA">
      <w:pPr>
        <w:tabs>
          <w:tab w:val="left" w:pos="709"/>
        </w:tabs>
        <w:jc w:val="both"/>
        <w:rPr>
          <w:color w:val="000000"/>
          <w:sz w:val="28"/>
          <w:szCs w:val="28"/>
          <w:lang w:val="uk-UA"/>
        </w:rPr>
      </w:pPr>
      <w:r w:rsidRPr="00CD677D">
        <w:rPr>
          <w:color w:val="000000"/>
          <w:sz w:val="28"/>
          <w:szCs w:val="28"/>
          <w:lang w:val="uk-UA"/>
        </w:rPr>
        <w:t xml:space="preserve">       </w:t>
      </w:r>
      <w:r w:rsidR="00CD0CDA">
        <w:rPr>
          <w:color w:val="000000"/>
          <w:sz w:val="28"/>
          <w:szCs w:val="28"/>
          <w:lang w:val="uk-UA"/>
        </w:rPr>
        <w:t xml:space="preserve">  </w:t>
      </w:r>
      <w:proofErr w:type="spellStart"/>
      <w:r w:rsidRPr="00CD677D">
        <w:rPr>
          <w:color w:val="000000"/>
          <w:sz w:val="28"/>
          <w:szCs w:val="28"/>
        </w:rPr>
        <w:t>Ананьївською</w:t>
      </w:r>
      <w:proofErr w:type="spellEnd"/>
      <w:r w:rsidRPr="00CD677D">
        <w:rPr>
          <w:color w:val="000000"/>
          <w:sz w:val="28"/>
          <w:szCs w:val="28"/>
        </w:rPr>
        <w:t xml:space="preserve"> </w:t>
      </w:r>
      <w:proofErr w:type="spellStart"/>
      <w:r w:rsidRPr="00CD677D">
        <w:rPr>
          <w:color w:val="000000"/>
          <w:sz w:val="28"/>
          <w:szCs w:val="28"/>
        </w:rPr>
        <w:t>міською</w:t>
      </w:r>
      <w:proofErr w:type="spellEnd"/>
      <w:r w:rsidRPr="00CD677D">
        <w:rPr>
          <w:color w:val="000000"/>
          <w:sz w:val="28"/>
          <w:szCs w:val="28"/>
        </w:rPr>
        <w:t xml:space="preserve"> радою до Ананьївського районного суду </w:t>
      </w:r>
      <w:proofErr w:type="spellStart"/>
      <w:r w:rsidRPr="00CD677D">
        <w:rPr>
          <w:color w:val="000000"/>
          <w:sz w:val="28"/>
          <w:szCs w:val="28"/>
        </w:rPr>
        <w:t>Одеської</w:t>
      </w:r>
      <w:proofErr w:type="spellEnd"/>
      <w:r w:rsidRPr="00CD677D">
        <w:rPr>
          <w:color w:val="000000"/>
          <w:sz w:val="28"/>
          <w:szCs w:val="28"/>
        </w:rPr>
        <w:t xml:space="preserve"> </w:t>
      </w:r>
      <w:proofErr w:type="spellStart"/>
      <w:r w:rsidRPr="00CD677D">
        <w:rPr>
          <w:color w:val="000000"/>
          <w:sz w:val="28"/>
          <w:szCs w:val="28"/>
        </w:rPr>
        <w:t>області</w:t>
      </w:r>
      <w:proofErr w:type="spellEnd"/>
      <w:r w:rsidRPr="00CD677D">
        <w:rPr>
          <w:color w:val="000000"/>
          <w:sz w:val="28"/>
          <w:szCs w:val="28"/>
        </w:rPr>
        <w:t xml:space="preserve"> та </w:t>
      </w:r>
      <w:proofErr w:type="spellStart"/>
      <w:r w:rsidRPr="00CD677D">
        <w:rPr>
          <w:color w:val="000000"/>
          <w:sz w:val="28"/>
          <w:szCs w:val="28"/>
        </w:rPr>
        <w:t>Господарського</w:t>
      </w:r>
      <w:proofErr w:type="spellEnd"/>
      <w:r w:rsidRPr="00CD677D">
        <w:rPr>
          <w:color w:val="000000"/>
          <w:sz w:val="28"/>
          <w:szCs w:val="28"/>
        </w:rPr>
        <w:t xml:space="preserve"> суду м.</w:t>
      </w:r>
      <w:r w:rsidR="00CD0CDA">
        <w:rPr>
          <w:color w:val="000000"/>
          <w:sz w:val="28"/>
          <w:szCs w:val="28"/>
          <w:lang w:val="uk-UA"/>
        </w:rPr>
        <w:t xml:space="preserve"> </w:t>
      </w:r>
      <w:r w:rsidRPr="00CD677D">
        <w:rPr>
          <w:color w:val="000000"/>
          <w:sz w:val="28"/>
          <w:szCs w:val="28"/>
        </w:rPr>
        <w:t>Одеса</w:t>
      </w:r>
      <w:r w:rsidR="00E300FA">
        <w:rPr>
          <w:color w:val="000000"/>
          <w:sz w:val="28"/>
          <w:szCs w:val="28"/>
          <w:lang w:val="uk-UA"/>
        </w:rPr>
        <w:t xml:space="preserve"> </w:t>
      </w:r>
      <w:r w:rsidRPr="00CD677D">
        <w:rPr>
          <w:color w:val="000000"/>
          <w:sz w:val="28"/>
          <w:szCs w:val="28"/>
        </w:rPr>
        <w:t xml:space="preserve">подано </w:t>
      </w:r>
      <w:proofErr w:type="spellStart"/>
      <w:r w:rsidRPr="00CD677D">
        <w:rPr>
          <w:color w:val="000000"/>
          <w:sz w:val="28"/>
          <w:szCs w:val="28"/>
        </w:rPr>
        <w:t>позов</w:t>
      </w:r>
      <w:proofErr w:type="spellEnd"/>
      <w:r w:rsidRPr="00CD677D">
        <w:rPr>
          <w:color w:val="000000"/>
          <w:sz w:val="28"/>
          <w:szCs w:val="28"/>
          <w:lang w:val="uk-UA"/>
        </w:rPr>
        <w:t xml:space="preserve">и </w:t>
      </w:r>
      <w:proofErr w:type="gramStart"/>
      <w:r w:rsidRPr="00CD677D">
        <w:rPr>
          <w:color w:val="000000"/>
          <w:sz w:val="28"/>
          <w:szCs w:val="28"/>
        </w:rPr>
        <w:t>у</w:t>
      </w:r>
      <w:proofErr w:type="gramEnd"/>
      <w:r w:rsidRPr="00CD677D">
        <w:rPr>
          <w:color w:val="000000"/>
          <w:sz w:val="28"/>
          <w:szCs w:val="28"/>
        </w:rPr>
        <w:t xml:space="preserve"> </w:t>
      </w:r>
      <w:proofErr w:type="spellStart"/>
      <w:r w:rsidRPr="00CD677D">
        <w:rPr>
          <w:color w:val="000000"/>
          <w:sz w:val="28"/>
          <w:szCs w:val="28"/>
        </w:rPr>
        <w:t>відношенні</w:t>
      </w:r>
      <w:proofErr w:type="spellEnd"/>
      <w:r w:rsidRPr="00CD677D">
        <w:rPr>
          <w:color w:val="000000"/>
          <w:sz w:val="28"/>
          <w:szCs w:val="28"/>
          <w:lang w:val="uk-UA"/>
        </w:rPr>
        <w:t xml:space="preserve">: </w:t>
      </w:r>
    </w:p>
    <w:p w:rsidR="00CD677D" w:rsidRPr="00CD677D" w:rsidRDefault="00CD677D" w:rsidP="00CD677D">
      <w:pPr>
        <w:jc w:val="both"/>
        <w:rPr>
          <w:color w:val="000000"/>
          <w:sz w:val="28"/>
          <w:szCs w:val="28"/>
          <w:lang w:val="uk-UA"/>
        </w:rPr>
      </w:pPr>
      <w:r w:rsidRPr="00CD677D">
        <w:rPr>
          <w:color w:val="000000"/>
          <w:sz w:val="28"/>
          <w:szCs w:val="28"/>
          <w:lang w:val="uk-UA"/>
        </w:rPr>
        <w:t xml:space="preserve"> </w:t>
      </w:r>
      <w:r w:rsidR="00CD0CDA">
        <w:rPr>
          <w:color w:val="000000"/>
          <w:sz w:val="28"/>
          <w:szCs w:val="28"/>
          <w:lang w:val="uk-UA"/>
        </w:rPr>
        <w:t xml:space="preserve">       </w:t>
      </w:r>
      <w:r w:rsidRPr="00CD677D">
        <w:rPr>
          <w:color w:val="000000"/>
          <w:sz w:val="28"/>
          <w:szCs w:val="28"/>
          <w:lang w:val="uk-UA"/>
        </w:rPr>
        <w:t xml:space="preserve"> - гр. </w:t>
      </w:r>
      <w:proofErr w:type="spellStart"/>
      <w:r w:rsidRPr="00CD677D">
        <w:rPr>
          <w:color w:val="000000"/>
          <w:sz w:val="28"/>
          <w:szCs w:val="28"/>
          <w:lang w:val="uk-UA"/>
        </w:rPr>
        <w:t>Дегтяренко</w:t>
      </w:r>
      <w:proofErr w:type="spellEnd"/>
      <w:r w:rsidRPr="00CD677D">
        <w:rPr>
          <w:color w:val="000000"/>
          <w:sz w:val="28"/>
          <w:szCs w:val="28"/>
          <w:lang w:val="uk-UA"/>
        </w:rPr>
        <w:t xml:space="preserve"> Геннадія Андрійовича «Про скасування  державної реєстрації земельних ділянок» та в</w:t>
      </w:r>
      <w:r w:rsidR="00E300FA">
        <w:rPr>
          <w:sz w:val="28"/>
          <w:szCs w:val="28"/>
          <w:lang w:val="uk-UA"/>
        </w:rPr>
        <w:t xml:space="preserve">изнати недійсними </w:t>
      </w:r>
      <w:r w:rsidRPr="00CD0CDA">
        <w:rPr>
          <w:iCs/>
          <w:sz w:val="28"/>
          <w:szCs w:val="28"/>
          <w:lang w:val="uk-UA"/>
        </w:rPr>
        <w:t>договори оренди землі</w:t>
      </w:r>
      <w:r w:rsidRPr="00CD677D">
        <w:rPr>
          <w:sz w:val="28"/>
          <w:szCs w:val="28"/>
          <w:lang w:val="uk-UA"/>
        </w:rPr>
        <w:t xml:space="preserve"> зареєстровані між гр. </w:t>
      </w:r>
      <w:proofErr w:type="spellStart"/>
      <w:r w:rsidRPr="00CD677D">
        <w:rPr>
          <w:sz w:val="28"/>
          <w:szCs w:val="28"/>
          <w:lang w:val="uk-UA"/>
        </w:rPr>
        <w:t>Дегтя</w:t>
      </w:r>
      <w:r w:rsidR="00E300FA">
        <w:rPr>
          <w:sz w:val="28"/>
          <w:szCs w:val="28"/>
          <w:lang w:val="uk-UA"/>
        </w:rPr>
        <w:t>ренко</w:t>
      </w:r>
      <w:proofErr w:type="spellEnd"/>
      <w:r w:rsidR="00E300FA">
        <w:rPr>
          <w:sz w:val="28"/>
          <w:szCs w:val="28"/>
          <w:lang w:val="uk-UA"/>
        </w:rPr>
        <w:t xml:space="preserve"> Геннадієм Андрійовичем та </w:t>
      </w:r>
      <w:r w:rsidR="00CD0CDA">
        <w:rPr>
          <w:sz w:val="28"/>
          <w:szCs w:val="28"/>
          <w:lang w:val="uk-UA"/>
        </w:rPr>
        <w:t>ФГ «</w:t>
      </w:r>
      <w:proofErr w:type="spellStart"/>
      <w:r w:rsidR="00CD0CDA">
        <w:rPr>
          <w:sz w:val="28"/>
          <w:szCs w:val="28"/>
          <w:lang w:val="uk-UA"/>
        </w:rPr>
        <w:t>Магденко</w:t>
      </w:r>
      <w:proofErr w:type="spellEnd"/>
      <w:r w:rsidR="00CD0CDA">
        <w:rPr>
          <w:sz w:val="28"/>
          <w:szCs w:val="28"/>
          <w:lang w:val="uk-UA"/>
        </w:rPr>
        <w:t xml:space="preserve">» 18 лютого </w:t>
      </w:r>
      <w:r w:rsidRPr="00CD677D">
        <w:rPr>
          <w:sz w:val="28"/>
          <w:szCs w:val="28"/>
          <w:lang w:val="uk-UA"/>
        </w:rPr>
        <w:t>2021 року;</w:t>
      </w:r>
    </w:p>
    <w:p w:rsidR="00CD677D" w:rsidRPr="00CD677D" w:rsidRDefault="00CD677D" w:rsidP="00CD0CDA">
      <w:pPr>
        <w:tabs>
          <w:tab w:val="left" w:pos="709"/>
        </w:tabs>
        <w:jc w:val="both"/>
        <w:rPr>
          <w:color w:val="000000"/>
          <w:sz w:val="28"/>
          <w:szCs w:val="28"/>
          <w:lang w:val="uk-UA"/>
        </w:rPr>
      </w:pPr>
      <w:r w:rsidRPr="00CD677D">
        <w:rPr>
          <w:color w:val="000000"/>
          <w:sz w:val="28"/>
          <w:szCs w:val="28"/>
          <w:lang w:val="uk-UA"/>
        </w:rPr>
        <w:t xml:space="preserve">  </w:t>
      </w:r>
      <w:r w:rsidR="00E300FA">
        <w:rPr>
          <w:color w:val="000000"/>
          <w:sz w:val="28"/>
          <w:szCs w:val="28"/>
          <w:lang w:val="uk-UA"/>
        </w:rPr>
        <w:t xml:space="preserve">        - </w:t>
      </w:r>
      <w:proofErr w:type="spellStart"/>
      <w:r w:rsidR="00E300FA">
        <w:rPr>
          <w:color w:val="000000"/>
          <w:sz w:val="28"/>
          <w:szCs w:val="28"/>
          <w:lang w:val="uk-UA"/>
        </w:rPr>
        <w:t>гр.</w:t>
      </w:r>
      <w:r w:rsidR="00CD0CDA">
        <w:rPr>
          <w:color w:val="000000"/>
          <w:sz w:val="28"/>
          <w:szCs w:val="28"/>
          <w:lang w:val="uk-UA"/>
        </w:rPr>
        <w:t>Науменко</w:t>
      </w:r>
      <w:proofErr w:type="spellEnd"/>
      <w:r w:rsidR="00CD0CDA">
        <w:rPr>
          <w:color w:val="000000"/>
          <w:sz w:val="28"/>
          <w:szCs w:val="28"/>
          <w:lang w:val="uk-UA"/>
        </w:rPr>
        <w:t xml:space="preserve"> Надії Петрівни</w:t>
      </w:r>
      <w:r w:rsidRPr="00CD677D">
        <w:rPr>
          <w:color w:val="000000"/>
          <w:sz w:val="28"/>
          <w:szCs w:val="28"/>
          <w:lang w:val="uk-UA"/>
        </w:rPr>
        <w:t xml:space="preserve"> «Про припинення договору оренди землі</w:t>
      </w:r>
      <w:r w:rsidRPr="00CD677D">
        <w:rPr>
          <w:sz w:val="28"/>
          <w:szCs w:val="28"/>
          <w:lang w:val="uk-UA"/>
        </w:rPr>
        <w:t xml:space="preserve"> шляхом його розірвання  та стягнення заборгованості з орендної плати».</w:t>
      </w:r>
    </w:p>
    <w:p w:rsidR="00CD677D" w:rsidRPr="00CD677D" w:rsidRDefault="00CD677D" w:rsidP="00CD677D">
      <w:pPr>
        <w:jc w:val="both"/>
        <w:rPr>
          <w:sz w:val="28"/>
          <w:szCs w:val="28"/>
          <w:lang w:val="uk-UA"/>
        </w:rPr>
      </w:pPr>
      <w:r w:rsidRPr="00CD677D">
        <w:rPr>
          <w:color w:val="000000"/>
          <w:sz w:val="28"/>
          <w:szCs w:val="28"/>
          <w:lang w:val="uk-UA"/>
        </w:rPr>
        <w:t xml:space="preserve">     </w:t>
      </w:r>
      <w:r w:rsidR="00CD0CDA">
        <w:rPr>
          <w:color w:val="000000"/>
          <w:sz w:val="28"/>
          <w:szCs w:val="28"/>
          <w:lang w:val="uk-UA"/>
        </w:rPr>
        <w:t xml:space="preserve">     </w:t>
      </w:r>
      <w:r w:rsidRPr="00CD677D">
        <w:rPr>
          <w:color w:val="000000"/>
          <w:sz w:val="28"/>
          <w:szCs w:val="28"/>
          <w:lang w:val="uk-UA"/>
        </w:rPr>
        <w:t xml:space="preserve">- </w:t>
      </w:r>
      <w:r w:rsidRPr="00CD677D">
        <w:rPr>
          <w:sz w:val="28"/>
          <w:szCs w:val="28"/>
          <w:lang w:val="uk-UA"/>
        </w:rPr>
        <w:t>до ТОВ «</w:t>
      </w:r>
      <w:proofErr w:type="spellStart"/>
      <w:r w:rsidRPr="00CD677D">
        <w:rPr>
          <w:sz w:val="28"/>
          <w:szCs w:val="28"/>
          <w:lang w:val="uk-UA"/>
        </w:rPr>
        <w:t>Бріз</w:t>
      </w:r>
      <w:proofErr w:type="spellEnd"/>
      <w:r w:rsidRPr="00CD677D">
        <w:rPr>
          <w:sz w:val="28"/>
          <w:szCs w:val="28"/>
          <w:lang w:val="uk-UA"/>
        </w:rPr>
        <w:t xml:space="preserve"> </w:t>
      </w:r>
      <w:proofErr w:type="spellStart"/>
      <w:r w:rsidRPr="00CD677D">
        <w:rPr>
          <w:sz w:val="28"/>
          <w:szCs w:val="28"/>
          <w:lang w:val="uk-UA"/>
        </w:rPr>
        <w:t>Солар</w:t>
      </w:r>
      <w:proofErr w:type="spellEnd"/>
      <w:r w:rsidRPr="00CD677D">
        <w:rPr>
          <w:sz w:val="28"/>
          <w:szCs w:val="28"/>
          <w:lang w:val="uk-UA"/>
        </w:rPr>
        <w:t xml:space="preserve">» </w:t>
      </w:r>
      <w:r w:rsidRPr="00CD677D">
        <w:rPr>
          <w:color w:val="000000"/>
          <w:sz w:val="28"/>
          <w:szCs w:val="28"/>
          <w:lang w:val="uk-UA"/>
        </w:rPr>
        <w:t xml:space="preserve">про припинення договору оренди земельної ділянки </w:t>
      </w:r>
      <w:r w:rsidRPr="00CD677D">
        <w:rPr>
          <w:sz w:val="28"/>
          <w:szCs w:val="28"/>
          <w:lang w:val="uk-UA"/>
        </w:rPr>
        <w:t xml:space="preserve"> шляхом його розірвання  та стягнення заборгованості з орендної плати за користування земельною ділянкою  у сумі 722018,81 грн.</w:t>
      </w:r>
    </w:p>
    <w:p w:rsidR="00CD677D" w:rsidRPr="00CD677D" w:rsidRDefault="00CD677D" w:rsidP="00CD677D">
      <w:pPr>
        <w:shd w:val="clear" w:color="auto" w:fill="FFFFFF"/>
        <w:jc w:val="both"/>
        <w:rPr>
          <w:i/>
          <w:szCs w:val="20"/>
        </w:rPr>
      </w:pPr>
      <w:r w:rsidRPr="00CD677D">
        <w:rPr>
          <w:sz w:val="28"/>
          <w:szCs w:val="28"/>
          <w:lang w:val="uk-UA"/>
        </w:rPr>
        <w:lastRenderedPageBreak/>
        <w:t xml:space="preserve">     </w:t>
      </w:r>
      <w:r w:rsidR="00CD0CDA">
        <w:rPr>
          <w:sz w:val="28"/>
          <w:szCs w:val="28"/>
          <w:lang w:val="uk-UA"/>
        </w:rPr>
        <w:t xml:space="preserve">     - до ТОВ «</w:t>
      </w:r>
      <w:r w:rsidRPr="00CD677D">
        <w:rPr>
          <w:sz w:val="28"/>
          <w:szCs w:val="28"/>
          <w:lang w:val="uk-UA"/>
        </w:rPr>
        <w:t>Ананьїв</w:t>
      </w:r>
      <w:r w:rsidR="00CD0CDA">
        <w:rPr>
          <w:sz w:val="28"/>
          <w:szCs w:val="28"/>
          <w:lang w:val="uk-UA"/>
        </w:rPr>
        <w:t>ська сонячна електрична станція»</w:t>
      </w:r>
      <w:r w:rsidRPr="00CD677D">
        <w:rPr>
          <w:sz w:val="28"/>
          <w:szCs w:val="28"/>
          <w:lang w:val="uk-UA"/>
        </w:rPr>
        <w:t>, щодо стягнення заборгованості зі сплати орендної плати за землю за договором оренди земельн</w:t>
      </w:r>
      <w:r w:rsidR="00CD0CDA">
        <w:rPr>
          <w:sz w:val="28"/>
          <w:szCs w:val="28"/>
          <w:lang w:val="uk-UA"/>
        </w:rPr>
        <w:t>ої ділянки від 12 червня 2018 року</w:t>
      </w:r>
      <w:r w:rsidRPr="00CD677D">
        <w:rPr>
          <w:sz w:val="28"/>
          <w:szCs w:val="28"/>
          <w:lang w:val="uk-UA"/>
        </w:rPr>
        <w:t>, на суму 899481,34 грн.(подано податковою).</w:t>
      </w:r>
    </w:p>
    <w:p w:rsidR="00CD0CDA" w:rsidRPr="00CD0CDA" w:rsidRDefault="00CD0CDA" w:rsidP="00CD677D">
      <w:pPr>
        <w:jc w:val="both"/>
        <w:rPr>
          <w:b/>
          <w:spacing w:val="-2"/>
          <w:lang w:val="uk-UA"/>
        </w:rPr>
      </w:pPr>
    </w:p>
    <w:p w:rsidR="00CD677D" w:rsidRPr="00CD677D" w:rsidRDefault="00CD677D" w:rsidP="00E300FA">
      <w:pPr>
        <w:jc w:val="center"/>
        <w:rPr>
          <w:b/>
          <w:spacing w:val="-2"/>
          <w:sz w:val="28"/>
          <w:szCs w:val="28"/>
          <w:lang w:val="uk-UA"/>
        </w:rPr>
      </w:pPr>
      <w:r w:rsidRPr="00CD677D">
        <w:rPr>
          <w:b/>
          <w:spacing w:val="-2"/>
          <w:sz w:val="28"/>
          <w:szCs w:val="28"/>
          <w:lang w:val="uk-UA"/>
        </w:rPr>
        <w:t>І</w:t>
      </w:r>
      <w:r w:rsidRPr="00CD677D">
        <w:rPr>
          <w:b/>
          <w:spacing w:val="-2"/>
          <w:sz w:val="28"/>
          <w:szCs w:val="28"/>
          <w:lang w:val="en-US"/>
        </w:rPr>
        <w:t>II</w:t>
      </w:r>
      <w:r w:rsidRPr="00CD677D">
        <w:rPr>
          <w:b/>
          <w:spacing w:val="-2"/>
          <w:sz w:val="28"/>
          <w:szCs w:val="28"/>
          <w:lang w:val="uk-UA"/>
        </w:rPr>
        <w:t>. Видатки та заборгованість.</w:t>
      </w:r>
    </w:p>
    <w:p w:rsidR="00CD677D" w:rsidRPr="00CD0CDA" w:rsidRDefault="00CD677D" w:rsidP="00CD677D">
      <w:pPr>
        <w:jc w:val="both"/>
        <w:rPr>
          <w:b/>
          <w:spacing w:val="-2"/>
          <w:highlight w:val="yellow"/>
          <w:lang w:val="uk-UA"/>
        </w:rPr>
      </w:pPr>
    </w:p>
    <w:p w:rsidR="00CD677D" w:rsidRPr="00CD0CDA" w:rsidRDefault="00CD677D" w:rsidP="00E300FA">
      <w:pPr>
        <w:ind w:firstLine="709"/>
        <w:jc w:val="both"/>
        <w:rPr>
          <w:b/>
          <w:sz w:val="28"/>
          <w:szCs w:val="28"/>
          <w:lang w:val="uk-UA"/>
        </w:rPr>
      </w:pPr>
      <w:r w:rsidRPr="00CD677D">
        <w:rPr>
          <w:b/>
          <w:sz w:val="28"/>
          <w:szCs w:val="28"/>
          <w:lang w:val="uk-UA"/>
        </w:rPr>
        <w:t>Бюджет Ананьївської територіальної громади за 2021 рік по</w:t>
      </w:r>
      <w:r w:rsidRPr="00CD677D">
        <w:rPr>
          <w:sz w:val="28"/>
          <w:szCs w:val="28"/>
          <w:lang w:val="uk-UA"/>
        </w:rPr>
        <w:t xml:space="preserve"> </w:t>
      </w:r>
      <w:r w:rsidRPr="00CD677D">
        <w:rPr>
          <w:b/>
          <w:sz w:val="28"/>
          <w:szCs w:val="28"/>
          <w:lang w:val="uk-UA"/>
        </w:rPr>
        <w:t>загальному фонду</w:t>
      </w:r>
      <w:r w:rsidRPr="00CD677D">
        <w:rPr>
          <w:sz w:val="28"/>
          <w:szCs w:val="28"/>
          <w:lang w:val="uk-UA"/>
        </w:rPr>
        <w:t xml:space="preserve"> виконано на 94,3%  до затвердженого плану з урахуванням змін, або на 10445,1 тис. грн. менше затвердженого плану (план 183859,5 тис. грн., виконання 173414,4 тис. </w:t>
      </w:r>
      <w:r w:rsidR="00CD0CDA">
        <w:rPr>
          <w:sz w:val="28"/>
          <w:szCs w:val="28"/>
          <w:lang w:val="uk-UA"/>
        </w:rPr>
        <w:t>грн.</w:t>
      </w:r>
      <w:r w:rsidRPr="00CD677D">
        <w:rPr>
          <w:sz w:val="28"/>
          <w:szCs w:val="28"/>
          <w:lang w:val="uk-UA"/>
        </w:rPr>
        <w:t xml:space="preserve">). </w:t>
      </w:r>
    </w:p>
    <w:p w:rsidR="00CD677D" w:rsidRPr="00CD677D" w:rsidRDefault="00CD677D" w:rsidP="00E300FA">
      <w:pPr>
        <w:ind w:firstLine="709"/>
        <w:jc w:val="both"/>
        <w:rPr>
          <w:sz w:val="28"/>
          <w:szCs w:val="28"/>
          <w:lang w:val="uk-UA"/>
        </w:rPr>
      </w:pPr>
      <w:r w:rsidRPr="00CD677D">
        <w:rPr>
          <w:b/>
          <w:sz w:val="28"/>
          <w:szCs w:val="28"/>
          <w:lang w:val="uk-UA"/>
        </w:rPr>
        <w:t xml:space="preserve"> </w:t>
      </w:r>
      <w:r w:rsidRPr="00CD677D">
        <w:rPr>
          <w:sz w:val="28"/>
          <w:szCs w:val="28"/>
          <w:lang w:val="uk-UA"/>
        </w:rPr>
        <w:t xml:space="preserve">Виконання видатків загального фонду бюджету в розрізі галузей характеризується такими даними :    </w:t>
      </w:r>
    </w:p>
    <w:p w:rsidR="00CD677D" w:rsidRPr="00CD677D" w:rsidRDefault="00CD677D" w:rsidP="00CD677D">
      <w:pPr>
        <w:ind w:firstLine="708"/>
        <w:jc w:val="right"/>
        <w:rPr>
          <w:sz w:val="28"/>
          <w:szCs w:val="28"/>
          <w:lang w:val="uk-UA"/>
        </w:rPr>
      </w:pPr>
    </w:p>
    <w:tbl>
      <w:tblPr>
        <w:tblW w:w="9645" w:type="dxa"/>
        <w:tblInd w:w="108" w:type="dxa"/>
        <w:tblLayout w:type="fixed"/>
        <w:tblLook w:val="04A0" w:firstRow="1" w:lastRow="0" w:firstColumn="1" w:lastColumn="0" w:noHBand="0" w:noVBand="1"/>
      </w:tblPr>
      <w:tblGrid>
        <w:gridCol w:w="2978"/>
        <w:gridCol w:w="1702"/>
        <w:gridCol w:w="1560"/>
        <w:gridCol w:w="1135"/>
        <w:gridCol w:w="1135"/>
        <w:gridCol w:w="1135"/>
      </w:tblGrid>
      <w:tr w:rsidR="00CD677D" w:rsidRPr="00CD677D" w:rsidTr="00CD677D">
        <w:trPr>
          <w:trHeight w:val="1030"/>
        </w:trPr>
        <w:tc>
          <w:tcPr>
            <w:tcW w:w="2977"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b/>
                <w:lang w:val="uk-UA"/>
              </w:rPr>
            </w:pPr>
            <w:r w:rsidRPr="00CD677D">
              <w:rPr>
                <w:b/>
                <w:lang w:val="uk-UA"/>
              </w:rPr>
              <w:t>Найменування галузі</w:t>
            </w:r>
          </w:p>
        </w:tc>
        <w:tc>
          <w:tcPr>
            <w:tcW w:w="1701"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b/>
                <w:lang w:val="uk-UA"/>
              </w:rPr>
            </w:pPr>
            <w:r w:rsidRPr="00CD677D">
              <w:rPr>
                <w:b/>
                <w:lang w:val="uk-UA"/>
              </w:rPr>
              <w:t>Затверджено план на    2021 рік</w:t>
            </w:r>
          </w:p>
        </w:tc>
        <w:tc>
          <w:tcPr>
            <w:tcW w:w="1559"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b/>
                <w:lang w:val="uk-UA"/>
              </w:rPr>
            </w:pPr>
            <w:r w:rsidRPr="00CD677D">
              <w:rPr>
                <w:b/>
                <w:lang w:val="uk-UA"/>
              </w:rPr>
              <w:t>Фактично виконано за  2021 рік</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b/>
                <w:lang w:val="uk-UA"/>
              </w:rPr>
            </w:pPr>
            <w:r w:rsidRPr="00CD677D">
              <w:rPr>
                <w:b/>
                <w:lang w:val="uk-UA"/>
              </w:rPr>
              <w:t>Питома вага</w:t>
            </w:r>
          </w:p>
        </w:tc>
        <w:tc>
          <w:tcPr>
            <w:tcW w:w="1134"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b/>
                <w:lang w:val="uk-UA"/>
              </w:rPr>
            </w:pPr>
            <w:r w:rsidRPr="00CD677D">
              <w:rPr>
                <w:b/>
                <w:lang w:val="uk-UA"/>
              </w:rPr>
              <w:t xml:space="preserve">Відхилення від </w:t>
            </w:r>
          </w:p>
          <w:p w:rsidR="00CD677D" w:rsidRPr="00CD677D" w:rsidRDefault="00CD677D" w:rsidP="00CD677D">
            <w:pPr>
              <w:snapToGrid w:val="0"/>
              <w:jc w:val="center"/>
              <w:rPr>
                <w:b/>
                <w:lang w:val="uk-UA"/>
              </w:rPr>
            </w:pPr>
            <w:r w:rsidRPr="00CD677D">
              <w:rPr>
                <w:b/>
                <w:lang w:val="uk-UA"/>
              </w:rPr>
              <w:t>плану</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b/>
                <w:lang w:val="uk-UA"/>
              </w:rPr>
            </w:pPr>
            <w:r w:rsidRPr="00CD677D">
              <w:rPr>
                <w:b/>
                <w:lang w:val="uk-UA"/>
              </w:rPr>
              <w:t>% виконання плану</w:t>
            </w:r>
          </w:p>
        </w:tc>
      </w:tr>
      <w:tr w:rsidR="00CD677D" w:rsidRPr="00CD677D" w:rsidTr="00CD677D">
        <w:tc>
          <w:tcPr>
            <w:tcW w:w="2977"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both"/>
              <w:rPr>
                <w:sz w:val="25"/>
                <w:szCs w:val="25"/>
                <w:lang w:val="uk-UA"/>
              </w:rPr>
            </w:pPr>
            <w:r w:rsidRPr="00CD677D">
              <w:rPr>
                <w:sz w:val="25"/>
                <w:szCs w:val="25"/>
                <w:lang w:val="uk-UA"/>
              </w:rPr>
              <w:t>Управління</w:t>
            </w:r>
          </w:p>
        </w:tc>
        <w:tc>
          <w:tcPr>
            <w:tcW w:w="1701"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23720,3</w:t>
            </w:r>
          </w:p>
        </w:tc>
        <w:tc>
          <w:tcPr>
            <w:tcW w:w="1559"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23002,4</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sz w:val="25"/>
                <w:szCs w:val="25"/>
                <w:lang w:val="uk-UA"/>
              </w:rPr>
            </w:pPr>
            <w:r w:rsidRPr="00CD677D">
              <w:rPr>
                <w:sz w:val="25"/>
                <w:szCs w:val="25"/>
                <w:lang w:val="uk-UA"/>
              </w:rPr>
              <w:t>13,2</w:t>
            </w:r>
          </w:p>
        </w:tc>
        <w:tc>
          <w:tcPr>
            <w:tcW w:w="1134"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717,9</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sz w:val="25"/>
                <w:szCs w:val="25"/>
                <w:lang w:val="uk-UA"/>
              </w:rPr>
            </w:pPr>
            <w:r w:rsidRPr="00CD677D">
              <w:rPr>
                <w:sz w:val="25"/>
                <w:szCs w:val="25"/>
                <w:lang w:val="uk-UA"/>
              </w:rPr>
              <w:t>97,0</w:t>
            </w:r>
          </w:p>
        </w:tc>
      </w:tr>
      <w:tr w:rsidR="00CD677D" w:rsidRPr="00CD677D" w:rsidTr="00CD677D">
        <w:tc>
          <w:tcPr>
            <w:tcW w:w="2977"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both"/>
              <w:rPr>
                <w:sz w:val="25"/>
                <w:szCs w:val="25"/>
                <w:lang w:val="uk-UA"/>
              </w:rPr>
            </w:pPr>
            <w:r w:rsidRPr="00CD677D">
              <w:rPr>
                <w:sz w:val="25"/>
                <w:szCs w:val="25"/>
                <w:lang w:val="uk-UA"/>
              </w:rPr>
              <w:t>Освіта</w:t>
            </w:r>
          </w:p>
        </w:tc>
        <w:tc>
          <w:tcPr>
            <w:tcW w:w="1701"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126946,6</w:t>
            </w:r>
          </w:p>
        </w:tc>
        <w:tc>
          <w:tcPr>
            <w:tcW w:w="1559"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119390,4</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sz w:val="25"/>
                <w:szCs w:val="25"/>
                <w:lang w:val="uk-UA"/>
              </w:rPr>
            </w:pPr>
            <w:r w:rsidRPr="00CD677D">
              <w:rPr>
                <w:sz w:val="25"/>
                <w:szCs w:val="25"/>
                <w:lang w:val="uk-UA"/>
              </w:rPr>
              <w:t>68,8</w:t>
            </w:r>
          </w:p>
        </w:tc>
        <w:tc>
          <w:tcPr>
            <w:tcW w:w="1134"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7556,2</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sz w:val="25"/>
                <w:szCs w:val="25"/>
                <w:lang w:val="uk-UA"/>
              </w:rPr>
            </w:pPr>
            <w:r w:rsidRPr="00CD677D">
              <w:rPr>
                <w:sz w:val="25"/>
                <w:szCs w:val="25"/>
                <w:lang w:val="uk-UA"/>
              </w:rPr>
              <w:t>94,1</w:t>
            </w:r>
          </w:p>
        </w:tc>
      </w:tr>
      <w:tr w:rsidR="00CD677D" w:rsidRPr="00CD677D" w:rsidTr="00CD677D">
        <w:tc>
          <w:tcPr>
            <w:tcW w:w="2977"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both"/>
              <w:rPr>
                <w:sz w:val="25"/>
                <w:szCs w:val="25"/>
                <w:lang w:val="uk-UA"/>
              </w:rPr>
            </w:pPr>
            <w:r w:rsidRPr="00CD677D">
              <w:rPr>
                <w:sz w:val="25"/>
                <w:szCs w:val="25"/>
                <w:lang w:val="uk-UA"/>
              </w:rPr>
              <w:t xml:space="preserve">Охорона </w:t>
            </w:r>
            <w:proofErr w:type="spellStart"/>
            <w:r w:rsidRPr="00CD677D">
              <w:rPr>
                <w:sz w:val="25"/>
                <w:szCs w:val="25"/>
                <w:lang w:val="uk-UA"/>
              </w:rPr>
              <w:t>здоровꞌя</w:t>
            </w:r>
            <w:proofErr w:type="spellEnd"/>
          </w:p>
        </w:tc>
        <w:tc>
          <w:tcPr>
            <w:tcW w:w="1701"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5039,0</w:t>
            </w:r>
          </w:p>
        </w:tc>
        <w:tc>
          <w:tcPr>
            <w:tcW w:w="1559"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4307,4</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sz w:val="25"/>
                <w:szCs w:val="25"/>
                <w:lang w:val="uk-UA"/>
              </w:rPr>
            </w:pPr>
            <w:r w:rsidRPr="00CD677D">
              <w:rPr>
                <w:sz w:val="25"/>
                <w:szCs w:val="25"/>
                <w:lang w:val="uk-UA"/>
              </w:rPr>
              <w:t>2,4</w:t>
            </w:r>
          </w:p>
        </w:tc>
        <w:tc>
          <w:tcPr>
            <w:tcW w:w="1134"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731,6</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sz w:val="25"/>
                <w:szCs w:val="25"/>
                <w:lang w:val="uk-UA"/>
              </w:rPr>
            </w:pPr>
            <w:r w:rsidRPr="00CD677D">
              <w:rPr>
                <w:sz w:val="25"/>
                <w:szCs w:val="25"/>
                <w:lang w:val="uk-UA"/>
              </w:rPr>
              <w:t>85,5</w:t>
            </w:r>
          </w:p>
        </w:tc>
      </w:tr>
      <w:tr w:rsidR="00CD677D" w:rsidRPr="00CD677D" w:rsidTr="00CD677D">
        <w:tc>
          <w:tcPr>
            <w:tcW w:w="2977"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both"/>
              <w:rPr>
                <w:sz w:val="25"/>
                <w:szCs w:val="25"/>
                <w:lang w:val="uk-UA"/>
              </w:rPr>
            </w:pPr>
            <w:r w:rsidRPr="00CD677D">
              <w:rPr>
                <w:sz w:val="25"/>
                <w:szCs w:val="25"/>
                <w:lang w:val="uk-UA"/>
              </w:rPr>
              <w:t>Соціальний захист та</w:t>
            </w:r>
          </w:p>
          <w:p w:rsidR="00CD677D" w:rsidRPr="00CD677D" w:rsidRDefault="00CD677D" w:rsidP="00CD677D">
            <w:pPr>
              <w:snapToGrid w:val="0"/>
              <w:jc w:val="both"/>
              <w:rPr>
                <w:sz w:val="25"/>
                <w:szCs w:val="25"/>
                <w:lang w:val="uk-UA"/>
              </w:rPr>
            </w:pPr>
            <w:r w:rsidRPr="00CD677D">
              <w:rPr>
                <w:sz w:val="25"/>
                <w:szCs w:val="25"/>
                <w:lang w:val="uk-UA"/>
              </w:rPr>
              <w:t xml:space="preserve">соціальне забезпечення </w:t>
            </w:r>
          </w:p>
        </w:tc>
        <w:tc>
          <w:tcPr>
            <w:tcW w:w="1701" w:type="dxa"/>
            <w:tcBorders>
              <w:top w:val="single" w:sz="4" w:space="0" w:color="000000"/>
              <w:left w:val="single" w:sz="4" w:space="0" w:color="000000"/>
              <w:bottom w:val="single" w:sz="4" w:space="0" w:color="000000"/>
              <w:right w:val="nil"/>
            </w:tcBorders>
          </w:tcPr>
          <w:p w:rsidR="00CD677D" w:rsidRPr="00CD677D" w:rsidRDefault="00CD677D" w:rsidP="00CD677D">
            <w:pPr>
              <w:snapToGrid w:val="0"/>
              <w:rPr>
                <w:sz w:val="25"/>
                <w:szCs w:val="25"/>
                <w:lang w:val="uk-UA"/>
              </w:rPr>
            </w:pPr>
          </w:p>
          <w:p w:rsidR="00CD677D" w:rsidRPr="00CD677D" w:rsidRDefault="00CD677D" w:rsidP="00CD677D">
            <w:pPr>
              <w:snapToGrid w:val="0"/>
              <w:jc w:val="center"/>
              <w:rPr>
                <w:sz w:val="25"/>
                <w:szCs w:val="25"/>
                <w:lang w:val="uk-UA"/>
              </w:rPr>
            </w:pPr>
            <w:r w:rsidRPr="00CD677D">
              <w:rPr>
                <w:sz w:val="25"/>
                <w:szCs w:val="25"/>
                <w:lang w:val="uk-UA"/>
              </w:rPr>
              <w:t>7259,4</w:t>
            </w:r>
          </w:p>
        </w:tc>
        <w:tc>
          <w:tcPr>
            <w:tcW w:w="1559" w:type="dxa"/>
            <w:tcBorders>
              <w:top w:val="single" w:sz="4" w:space="0" w:color="000000"/>
              <w:left w:val="single" w:sz="4" w:space="0" w:color="000000"/>
              <w:bottom w:val="single" w:sz="4" w:space="0" w:color="000000"/>
              <w:right w:val="nil"/>
            </w:tcBorders>
          </w:tcPr>
          <w:p w:rsidR="00CD677D" w:rsidRPr="00CD677D" w:rsidRDefault="00CD677D" w:rsidP="00CD677D">
            <w:pPr>
              <w:snapToGrid w:val="0"/>
              <w:jc w:val="center"/>
              <w:rPr>
                <w:sz w:val="25"/>
                <w:szCs w:val="25"/>
                <w:lang w:val="uk-UA"/>
              </w:rPr>
            </w:pPr>
          </w:p>
          <w:p w:rsidR="00CD677D" w:rsidRPr="00CD677D" w:rsidRDefault="00CD677D" w:rsidP="00CD677D">
            <w:pPr>
              <w:snapToGrid w:val="0"/>
              <w:jc w:val="center"/>
              <w:rPr>
                <w:sz w:val="25"/>
                <w:szCs w:val="25"/>
                <w:lang w:val="uk-UA"/>
              </w:rPr>
            </w:pPr>
            <w:r w:rsidRPr="00CD677D">
              <w:rPr>
                <w:sz w:val="25"/>
                <w:szCs w:val="25"/>
                <w:lang w:val="uk-UA"/>
              </w:rPr>
              <w:t>7166,3</w:t>
            </w:r>
          </w:p>
        </w:tc>
        <w:tc>
          <w:tcPr>
            <w:tcW w:w="1134" w:type="dxa"/>
            <w:tcBorders>
              <w:top w:val="single" w:sz="4" w:space="0" w:color="000000"/>
              <w:left w:val="single" w:sz="4" w:space="0" w:color="000000"/>
              <w:bottom w:val="single" w:sz="4" w:space="0" w:color="000000"/>
              <w:right w:val="single" w:sz="4" w:space="0" w:color="000000"/>
            </w:tcBorders>
          </w:tcPr>
          <w:p w:rsidR="00CD677D" w:rsidRPr="00CD677D" w:rsidRDefault="00CD677D" w:rsidP="00CD677D">
            <w:pPr>
              <w:snapToGrid w:val="0"/>
              <w:jc w:val="center"/>
              <w:rPr>
                <w:sz w:val="25"/>
                <w:szCs w:val="25"/>
                <w:lang w:val="uk-UA"/>
              </w:rPr>
            </w:pPr>
          </w:p>
          <w:p w:rsidR="00CD677D" w:rsidRPr="00CD677D" w:rsidRDefault="00CD677D" w:rsidP="00CD677D">
            <w:pPr>
              <w:snapToGrid w:val="0"/>
              <w:jc w:val="center"/>
              <w:rPr>
                <w:sz w:val="25"/>
                <w:szCs w:val="25"/>
                <w:lang w:val="uk-UA"/>
              </w:rPr>
            </w:pPr>
            <w:r w:rsidRPr="00CD677D">
              <w:rPr>
                <w:sz w:val="25"/>
                <w:szCs w:val="25"/>
                <w:lang w:val="uk-UA"/>
              </w:rPr>
              <w:t>4,1</w:t>
            </w:r>
          </w:p>
        </w:tc>
        <w:tc>
          <w:tcPr>
            <w:tcW w:w="1134" w:type="dxa"/>
            <w:tcBorders>
              <w:top w:val="single" w:sz="4" w:space="0" w:color="000000"/>
              <w:left w:val="single" w:sz="4" w:space="0" w:color="000000"/>
              <w:bottom w:val="single" w:sz="4" w:space="0" w:color="000000"/>
              <w:right w:val="nil"/>
            </w:tcBorders>
          </w:tcPr>
          <w:p w:rsidR="00CD677D" w:rsidRPr="00CD677D" w:rsidRDefault="00CD677D" w:rsidP="00CD677D">
            <w:pPr>
              <w:snapToGrid w:val="0"/>
              <w:jc w:val="center"/>
              <w:rPr>
                <w:sz w:val="25"/>
                <w:szCs w:val="25"/>
                <w:lang w:val="uk-UA"/>
              </w:rPr>
            </w:pPr>
          </w:p>
          <w:p w:rsidR="00CD677D" w:rsidRPr="00CD677D" w:rsidRDefault="00CD677D" w:rsidP="00CD677D">
            <w:pPr>
              <w:snapToGrid w:val="0"/>
              <w:jc w:val="center"/>
              <w:rPr>
                <w:sz w:val="25"/>
                <w:szCs w:val="25"/>
                <w:lang w:val="uk-UA"/>
              </w:rPr>
            </w:pPr>
            <w:r w:rsidRPr="00CD677D">
              <w:rPr>
                <w:sz w:val="25"/>
                <w:szCs w:val="25"/>
                <w:lang w:val="uk-UA"/>
              </w:rPr>
              <w:t>93,1</w:t>
            </w:r>
          </w:p>
        </w:tc>
        <w:tc>
          <w:tcPr>
            <w:tcW w:w="1134" w:type="dxa"/>
            <w:tcBorders>
              <w:top w:val="single" w:sz="4" w:space="0" w:color="000000"/>
              <w:left w:val="single" w:sz="4" w:space="0" w:color="000000"/>
              <w:bottom w:val="single" w:sz="4" w:space="0" w:color="000000"/>
              <w:right w:val="single" w:sz="4" w:space="0" w:color="000000"/>
            </w:tcBorders>
          </w:tcPr>
          <w:p w:rsidR="00CD677D" w:rsidRPr="00CD677D" w:rsidRDefault="00CD677D" w:rsidP="00CD677D">
            <w:pPr>
              <w:snapToGrid w:val="0"/>
              <w:jc w:val="center"/>
              <w:rPr>
                <w:sz w:val="25"/>
                <w:szCs w:val="25"/>
                <w:lang w:val="uk-UA"/>
              </w:rPr>
            </w:pPr>
          </w:p>
          <w:p w:rsidR="00CD677D" w:rsidRPr="00CD677D" w:rsidRDefault="00CD677D" w:rsidP="00CD677D">
            <w:pPr>
              <w:snapToGrid w:val="0"/>
              <w:jc w:val="center"/>
              <w:rPr>
                <w:sz w:val="25"/>
                <w:szCs w:val="25"/>
                <w:lang w:val="uk-UA"/>
              </w:rPr>
            </w:pPr>
            <w:r w:rsidRPr="00CD677D">
              <w:rPr>
                <w:sz w:val="25"/>
                <w:szCs w:val="25"/>
                <w:lang w:val="uk-UA"/>
              </w:rPr>
              <w:t>98,7</w:t>
            </w:r>
          </w:p>
        </w:tc>
      </w:tr>
      <w:tr w:rsidR="00CD677D" w:rsidRPr="00CD677D" w:rsidTr="00CD677D">
        <w:tc>
          <w:tcPr>
            <w:tcW w:w="2977"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both"/>
              <w:rPr>
                <w:sz w:val="25"/>
                <w:szCs w:val="25"/>
                <w:lang w:val="uk-UA"/>
              </w:rPr>
            </w:pPr>
            <w:r w:rsidRPr="00CD677D">
              <w:rPr>
                <w:sz w:val="25"/>
                <w:szCs w:val="25"/>
                <w:lang w:val="uk-UA"/>
              </w:rPr>
              <w:t>Культура і мистецтво</w:t>
            </w:r>
          </w:p>
        </w:tc>
        <w:tc>
          <w:tcPr>
            <w:tcW w:w="1701"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8326,4</w:t>
            </w:r>
          </w:p>
        </w:tc>
        <w:tc>
          <w:tcPr>
            <w:tcW w:w="1559"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7912,3</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sz w:val="25"/>
                <w:szCs w:val="25"/>
                <w:lang w:val="uk-UA"/>
              </w:rPr>
            </w:pPr>
            <w:r w:rsidRPr="00CD677D">
              <w:rPr>
                <w:sz w:val="25"/>
                <w:szCs w:val="25"/>
                <w:lang w:val="uk-UA"/>
              </w:rPr>
              <w:t>4,6</w:t>
            </w:r>
          </w:p>
        </w:tc>
        <w:tc>
          <w:tcPr>
            <w:tcW w:w="1134"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414,1</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sz w:val="25"/>
                <w:szCs w:val="25"/>
                <w:lang w:val="uk-UA"/>
              </w:rPr>
            </w:pPr>
            <w:r w:rsidRPr="00CD677D">
              <w:rPr>
                <w:sz w:val="25"/>
                <w:szCs w:val="25"/>
                <w:lang w:val="uk-UA"/>
              </w:rPr>
              <w:t>95,0</w:t>
            </w:r>
          </w:p>
        </w:tc>
      </w:tr>
      <w:tr w:rsidR="00CD677D" w:rsidRPr="00CD677D" w:rsidTr="00CD677D">
        <w:tc>
          <w:tcPr>
            <w:tcW w:w="2977"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both"/>
              <w:rPr>
                <w:sz w:val="25"/>
                <w:szCs w:val="25"/>
                <w:lang w:val="uk-UA"/>
              </w:rPr>
            </w:pPr>
            <w:r w:rsidRPr="00CD677D">
              <w:rPr>
                <w:sz w:val="25"/>
                <w:szCs w:val="25"/>
                <w:lang w:val="uk-UA"/>
              </w:rPr>
              <w:t>Фізична культура і спорт</w:t>
            </w:r>
          </w:p>
        </w:tc>
        <w:tc>
          <w:tcPr>
            <w:tcW w:w="1701"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1071,2</w:t>
            </w:r>
          </w:p>
        </w:tc>
        <w:tc>
          <w:tcPr>
            <w:tcW w:w="1559"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1012,6</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sz w:val="25"/>
                <w:szCs w:val="25"/>
                <w:lang w:val="uk-UA"/>
              </w:rPr>
            </w:pPr>
            <w:r w:rsidRPr="00CD677D">
              <w:rPr>
                <w:sz w:val="25"/>
                <w:szCs w:val="25"/>
                <w:lang w:val="uk-UA"/>
              </w:rPr>
              <w:t>0,6</w:t>
            </w:r>
          </w:p>
        </w:tc>
        <w:tc>
          <w:tcPr>
            <w:tcW w:w="1134"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58,6</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sz w:val="25"/>
                <w:szCs w:val="25"/>
                <w:lang w:val="uk-UA"/>
              </w:rPr>
            </w:pPr>
            <w:r w:rsidRPr="00CD677D">
              <w:rPr>
                <w:sz w:val="25"/>
                <w:szCs w:val="25"/>
                <w:lang w:val="uk-UA"/>
              </w:rPr>
              <w:t>94,5</w:t>
            </w:r>
          </w:p>
        </w:tc>
      </w:tr>
      <w:tr w:rsidR="00CD677D" w:rsidRPr="00CD677D" w:rsidTr="00CD677D">
        <w:tc>
          <w:tcPr>
            <w:tcW w:w="2977"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both"/>
              <w:rPr>
                <w:sz w:val="25"/>
                <w:szCs w:val="25"/>
                <w:lang w:val="uk-UA"/>
              </w:rPr>
            </w:pPr>
            <w:r w:rsidRPr="00CD677D">
              <w:rPr>
                <w:sz w:val="25"/>
                <w:szCs w:val="25"/>
                <w:lang w:val="uk-UA"/>
              </w:rPr>
              <w:t>Житлово-комунальне господарство</w:t>
            </w:r>
          </w:p>
        </w:tc>
        <w:tc>
          <w:tcPr>
            <w:tcW w:w="1701" w:type="dxa"/>
            <w:tcBorders>
              <w:top w:val="single" w:sz="4" w:space="0" w:color="000000"/>
              <w:left w:val="single" w:sz="4" w:space="0" w:color="000000"/>
              <w:bottom w:val="single" w:sz="4" w:space="0" w:color="000000"/>
              <w:right w:val="nil"/>
            </w:tcBorders>
          </w:tcPr>
          <w:p w:rsidR="00CD677D" w:rsidRPr="00CD677D" w:rsidRDefault="00CD677D" w:rsidP="00CD677D">
            <w:pPr>
              <w:snapToGrid w:val="0"/>
              <w:jc w:val="center"/>
              <w:rPr>
                <w:sz w:val="25"/>
                <w:szCs w:val="25"/>
                <w:lang w:val="uk-UA"/>
              </w:rPr>
            </w:pPr>
          </w:p>
          <w:p w:rsidR="00CD677D" w:rsidRPr="00CD677D" w:rsidRDefault="00CD677D" w:rsidP="00CD677D">
            <w:pPr>
              <w:snapToGrid w:val="0"/>
              <w:jc w:val="center"/>
              <w:rPr>
                <w:sz w:val="25"/>
                <w:szCs w:val="25"/>
                <w:lang w:val="uk-UA"/>
              </w:rPr>
            </w:pPr>
            <w:r w:rsidRPr="00CD677D">
              <w:rPr>
                <w:sz w:val="25"/>
                <w:szCs w:val="25"/>
                <w:lang w:val="uk-UA"/>
              </w:rPr>
              <w:t>7141,3</w:t>
            </w:r>
          </w:p>
        </w:tc>
        <w:tc>
          <w:tcPr>
            <w:tcW w:w="1559" w:type="dxa"/>
            <w:tcBorders>
              <w:top w:val="single" w:sz="4" w:space="0" w:color="000000"/>
              <w:left w:val="single" w:sz="4" w:space="0" w:color="000000"/>
              <w:bottom w:val="single" w:sz="4" w:space="0" w:color="000000"/>
              <w:right w:val="nil"/>
            </w:tcBorders>
          </w:tcPr>
          <w:p w:rsidR="00CD677D" w:rsidRPr="00CD677D" w:rsidRDefault="00CD677D" w:rsidP="00CD677D">
            <w:pPr>
              <w:snapToGrid w:val="0"/>
              <w:jc w:val="center"/>
              <w:rPr>
                <w:sz w:val="25"/>
                <w:szCs w:val="25"/>
                <w:lang w:val="uk-UA"/>
              </w:rPr>
            </w:pPr>
          </w:p>
          <w:p w:rsidR="00CD677D" w:rsidRPr="00CD677D" w:rsidRDefault="00CD677D" w:rsidP="00CD677D">
            <w:pPr>
              <w:snapToGrid w:val="0"/>
              <w:jc w:val="center"/>
              <w:rPr>
                <w:sz w:val="25"/>
                <w:szCs w:val="25"/>
                <w:lang w:val="uk-UA"/>
              </w:rPr>
            </w:pPr>
            <w:r w:rsidRPr="00CD677D">
              <w:rPr>
                <w:sz w:val="25"/>
                <w:szCs w:val="25"/>
                <w:lang w:val="uk-UA"/>
              </w:rPr>
              <w:t>6856,9</w:t>
            </w:r>
          </w:p>
        </w:tc>
        <w:tc>
          <w:tcPr>
            <w:tcW w:w="1134" w:type="dxa"/>
            <w:tcBorders>
              <w:top w:val="single" w:sz="4" w:space="0" w:color="000000"/>
              <w:left w:val="single" w:sz="4" w:space="0" w:color="000000"/>
              <w:bottom w:val="single" w:sz="4" w:space="0" w:color="000000"/>
              <w:right w:val="single" w:sz="4" w:space="0" w:color="000000"/>
            </w:tcBorders>
          </w:tcPr>
          <w:p w:rsidR="00CD677D" w:rsidRPr="00CD677D" w:rsidRDefault="00CD677D" w:rsidP="00CD677D">
            <w:pPr>
              <w:snapToGrid w:val="0"/>
              <w:jc w:val="center"/>
              <w:rPr>
                <w:sz w:val="25"/>
                <w:szCs w:val="25"/>
                <w:lang w:val="uk-UA"/>
              </w:rPr>
            </w:pPr>
          </w:p>
          <w:p w:rsidR="00CD677D" w:rsidRPr="00CD677D" w:rsidRDefault="00CD677D" w:rsidP="00CD677D">
            <w:pPr>
              <w:snapToGrid w:val="0"/>
              <w:jc w:val="center"/>
              <w:rPr>
                <w:sz w:val="25"/>
                <w:szCs w:val="25"/>
                <w:lang w:val="uk-UA"/>
              </w:rPr>
            </w:pPr>
            <w:r w:rsidRPr="00CD677D">
              <w:rPr>
                <w:sz w:val="25"/>
                <w:szCs w:val="25"/>
                <w:lang w:val="uk-UA"/>
              </w:rPr>
              <w:t>4,0</w:t>
            </w:r>
          </w:p>
        </w:tc>
        <w:tc>
          <w:tcPr>
            <w:tcW w:w="1134" w:type="dxa"/>
            <w:tcBorders>
              <w:top w:val="single" w:sz="4" w:space="0" w:color="000000"/>
              <w:left w:val="single" w:sz="4" w:space="0" w:color="000000"/>
              <w:bottom w:val="single" w:sz="4" w:space="0" w:color="000000"/>
              <w:right w:val="nil"/>
            </w:tcBorders>
          </w:tcPr>
          <w:p w:rsidR="00CD677D" w:rsidRPr="00CD677D" w:rsidRDefault="00CD677D" w:rsidP="00CD677D">
            <w:pPr>
              <w:snapToGrid w:val="0"/>
              <w:jc w:val="center"/>
              <w:rPr>
                <w:sz w:val="25"/>
                <w:szCs w:val="25"/>
                <w:lang w:val="uk-UA"/>
              </w:rPr>
            </w:pPr>
          </w:p>
          <w:p w:rsidR="00CD677D" w:rsidRPr="00CD677D" w:rsidRDefault="00CD677D" w:rsidP="00CD677D">
            <w:pPr>
              <w:snapToGrid w:val="0"/>
              <w:jc w:val="center"/>
              <w:rPr>
                <w:sz w:val="25"/>
                <w:szCs w:val="25"/>
                <w:lang w:val="uk-UA"/>
              </w:rPr>
            </w:pPr>
            <w:r w:rsidRPr="00CD677D">
              <w:rPr>
                <w:sz w:val="25"/>
                <w:szCs w:val="25"/>
                <w:lang w:val="uk-UA"/>
              </w:rPr>
              <w:t>284,4</w:t>
            </w:r>
          </w:p>
        </w:tc>
        <w:tc>
          <w:tcPr>
            <w:tcW w:w="1134" w:type="dxa"/>
            <w:tcBorders>
              <w:top w:val="single" w:sz="4" w:space="0" w:color="000000"/>
              <w:left w:val="single" w:sz="4" w:space="0" w:color="000000"/>
              <w:bottom w:val="single" w:sz="4" w:space="0" w:color="000000"/>
              <w:right w:val="single" w:sz="4" w:space="0" w:color="000000"/>
            </w:tcBorders>
          </w:tcPr>
          <w:p w:rsidR="00CD677D" w:rsidRPr="00CD677D" w:rsidRDefault="00CD677D" w:rsidP="00CD677D">
            <w:pPr>
              <w:snapToGrid w:val="0"/>
              <w:jc w:val="center"/>
              <w:rPr>
                <w:sz w:val="25"/>
                <w:szCs w:val="25"/>
                <w:lang w:val="uk-UA"/>
              </w:rPr>
            </w:pPr>
          </w:p>
          <w:p w:rsidR="00CD677D" w:rsidRPr="00CD677D" w:rsidRDefault="00CD677D" w:rsidP="00CD677D">
            <w:pPr>
              <w:snapToGrid w:val="0"/>
              <w:jc w:val="center"/>
              <w:rPr>
                <w:sz w:val="25"/>
                <w:szCs w:val="25"/>
                <w:lang w:val="uk-UA"/>
              </w:rPr>
            </w:pPr>
            <w:r w:rsidRPr="00CD677D">
              <w:rPr>
                <w:sz w:val="25"/>
                <w:szCs w:val="25"/>
                <w:lang w:val="uk-UA"/>
              </w:rPr>
              <w:t>96,0</w:t>
            </w:r>
          </w:p>
        </w:tc>
      </w:tr>
      <w:tr w:rsidR="00CD677D" w:rsidRPr="00CD677D" w:rsidTr="00CD677D">
        <w:tc>
          <w:tcPr>
            <w:tcW w:w="2977"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both"/>
              <w:rPr>
                <w:sz w:val="25"/>
                <w:szCs w:val="25"/>
                <w:lang w:val="uk-UA"/>
              </w:rPr>
            </w:pPr>
            <w:r w:rsidRPr="00CD677D">
              <w:rPr>
                <w:sz w:val="25"/>
                <w:szCs w:val="25"/>
                <w:lang w:val="uk-UA"/>
              </w:rPr>
              <w:t>Економічна діяльність</w:t>
            </w:r>
          </w:p>
        </w:tc>
        <w:tc>
          <w:tcPr>
            <w:tcW w:w="1701"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4035,3</w:t>
            </w:r>
          </w:p>
        </w:tc>
        <w:tc>
          <w:tcPr>
            <w:tcW w:w="1559"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3629,4</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sz w:val="25"/>
                <w:szCs w:val="25"/>
                <w:lang w:val="uk-UA"/>
              </w:rPr>
            </w:pPr>
            <w:r w:rsidRPr="00CD677D">
              <w:rPr>
                <w:sz w:val="25"/>
                <w:szCs w:val="25"/>
                <w:lang w:val="uk-UA"/>
              </w:rPr>
              <w:t>2,1</w:t>
            </w:r>
          </w:p>
        </w:tc>
        <w:tc>
          <w:tcPr>
            <w:tcW w:w="1134"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405,9</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sz w:val="25"/>
                <w:szCs w:val="25"/>
                <w:lang w:val="uk-UA"/>
              </w:rPr>
            </w:pPr>
            <w:r w:rsidRPr="00CD677D">
              <w:rPr>
                <w:sz w:val="25"/>
                <w:szCs w:val="25"/>
                <w:lang w:val="uk-UA"/>
              </w:rPr>
              <w:t>89,9</w:t>
            </w:r>
          </w:p>
        </w:tc>
      </w:tr>
      <w:tr w:rsidR="00CD677D" w:rsidRPr="00CD677D" w:rsidTr="00CD677D">
        <w:tc>
          <w:tcPr>
            <w:tcW w:w="2977"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both"/>
              <w:rPr>
                <w:sz w:val="25"/>
                <w:szCs w:val="25"/>
                <w:lang w:val="uk-UA"/>
              </w:rPr>
            </w:pPr>
            <w:r w:rsidRPr="00CD677D">
              <w:rPr>
                <w:sz w:val="25"/>
                <w:szCs w:val="25"/>
                <w:lang w:val="uk-UA"/>
              </w:rPr>
              <w:t>Інша діяльність</w:t>
            </w:r>
          </w:p>
        </w:tc>
        <w:tc>
          <w:tcPr>
            <w:tcW w:w="1701"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70,0</w:t>
            </w:r>
          </w:p>
        </w:tc>
        <w:tc>
          <w:tcPr>
            <w:tcW w:w="1559"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36,7</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sz w:val="25"/>
                <w:szCs w:val="25"/>
                <w:lang w:val="uk-UA"/>
              </w:rPr>
            </w:pPr>
            <w:r w:rsidRPr="00CD677D">
              <w:rPr>
                <w:sz w:val="25"/>
                <w:szCs w:val="25"/>
                <w:lang w:val="uk-UA"/>
              </w:rPr>
              <w:t>0,1</w:t>
            </w:r>
          </w:p>
        </w:tc>
        <w:tc>
          <w:tcPr>
            <w:tcW w:w="1134"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33,3</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sz w:val="25"/>
                <w:szCs w:val="25"/>
                <w:lang w:val="uk-UA"/>
              </w:rPr>
            </w:pPr>
            <w:r w:rsidRPr="00CD677D">
              <w:rPr>
                <w:sz w:val="25"/>
                <w:szCs w:val="25"/>
                <w:lang w:val="uk-UA"/>
              </w:rPr>
              <w:t>52,3</w:t>
            </w:r>
          </w:p>
        </w:tc>
      </w:tr>
      <w:tr w:rsidR="00CD677D" w:rsidRPr="00CD677D" w:rsidTr="00CD677D">
        <w:tc>
          <w:tcPr>
            <w:tcW w:w="2977"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both"/>
              <w:rPr>
                <w:sz w:val="25"/>
                <w:szCs w:val="25"/>
                <w:lang w:val="uk-UA"/>
              </w:rPr>
            </w:pPr>
            <w:r w:rsidRPr="00CD677D">
              <w:rPr>
                <w:sz w:val="25"/>
                <w:szCs w:val="25"/>
                <w:lang w:val="uk-UA"/>
              </w:rPr>
              <w:t>Резервний фонд</w:t>
            </w:r>
          </w:p>
        </w:tc>
        <w:tc>
          <w:tcPr>
            <w:tcW w:w="1701"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150,0</w:t>
            </w:r>
          </w:p>
        </w:tc>
        <w:tc>
          <w:tcPr>
            <w:tcW w:w="1559"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0</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sz w:val="25"/>
                <w:szCs w:val="25"/>
                <w:lang w:val="uk-UA"/>
              </w:rPr>
            </w:pPr>
            <w:r w:rsidRPr="00CD677D">
              <w:rPr>
                <w:sz w:val="25"/>
                <w:szCs w:val="25"/>
                <w:lang w:val="uk-UA"/>
              </w:rPr>
              <w:t>0</w:t>
            </w:r>
          </w:p>
        </w:tc>
        <w:tc>
          <w:tcPr>
            <w:tcW w:w="1134"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sz w:val="25"/>
                <w:szCs w:val="25"/>
                <w:lang w:val="uk-UA"/>
              </w:rPr>
            </w:pPr>
            <w:r w:rsidRPr="00CD677D">
              <w:rPr>
                <w:sz w:val="25"/>
                <w:szCs w:val="25"/>
                <w:lang w:val="uk-UA"/>
              </w:rPr>
              <w:t>150,0</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sz w:val="25"/>
                <w:szCs w:val="25"/>
                <w:lang w:val="uk-UA"/>
              </w:rPr>
            </w:pPr>
            <w:r w:rsidRPr="00CD677D">
              <w:rPr>
                <w:sz w:val="25"/>
                <w:szCs w:val="25"/>
                <w:lang w:val="uk-UA"/>
              </w:rPr>
              <w:t>0</w:t>
            </w:r>
          </w:p>
        </w:tc>
      </w:tr>
      <w:tr w:rsidR="00CD677D" w:rsidRPr="00CD677D" w:rsidTr="00CD677D">
        <w:tc>
          <w:tcPr>
            <w:tcW w:w="2977"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both"/>
              <w:rPr>
                <w:sz w:val="25"/>
                <w:szCs w:val="25"/>
                <w:lang w:val="uk-UA"/>
              </w:rPr>
            </w:pPr>
            <w:r w:rsidRPr="00CD677D">
              <w:rPr>
                <w:sz w:val="25"/>
                <w:szCs w:val="25"/>
                <w:lang w:val="uk-UA"/>
              </w:rPr>
              <w:t>Міжбюджетні трансферти</w:t>
            </w:r>
          </w:p>
        </w:tc>
        <w:tc>
          <w:tcPr>
            <w:tcW w:w="1701" w:type="dxa"/>
            <w:tcBorders>
              <w:top w:val="single" w:sz="4" w:space="0" w:color="000000"/>
              <w:left w:val="single" w:sz="4" w:space="0" w:color="000000"/>
              <w:bottom w:val="single" w:sz="4" w:space="0" w:color="000000"/>
              <w:right w:val="nil"/>
            </w:tcBorders>
          </w:tcPr>
          <w:p w:rsidR="00CD677D" w:rsidRPr="00CD677D" w:rsidRDefault="00CD677D" w:rsidP="00CD677D">
            <w:pPr>
              <w:snapToGrid w:val="0"/>
              <w:jc w:val="center"/>
              <w:rPr>
                <w:sz w:val="25"/>
                <w:szCs w:val="25"/>
                <w:lang w:val="uk-UA"/>
              </w:rPr>
            </w:pPr>
          </w:p>
          <w:p w:rsidR="00CD677D" w:rsidRPr="00CD677D" w:rsidRDefault="00CD677D" w:rsidP="00CD677D">
            <w:pPr>
              <w:snapToGrid w:val="0"/>
              <w:jc w:val="center"/>
              <w:rPr>
                <w:sz w:val="25"/>
                <w:szCs w:val="25"/>
                <w:lang w:val="uk-UA"/>
              </w:rPr>
            </w:pPr>
            <w:r w:rsidRPr="00CD677D">
              <w:rPr>
                <w:sz w:val="25"/>
                <w:szCs w:val="25"/>
                <w:lang w:val="uk-UA"/>
              </w:rPr>
              <w:t>100,0</w:t>
            </w:r>
          </w:p>
        </w:tc>
        <w:tc>
          <w:tcPr>
            <w:tcW w:w="1559" w:type="dxa"/>
            <w:tcBorders>
              <w:top w:val="single" w:sz="4" w:space="0" w:color="000000"/>
              <w:left w:val="single" w:sz="4" w:space="0" w:color="000000"/>
              <w:bottom w:val="single" w:sz="4" w:space="0" w:color="000000"/>
              <w:right w:val="nil"/>
            </w:tcBorders>
          </w:tcPr>
          <w:p w:rsidR="00CD677D" w:rsidRPr="00CD677D" w:rsidRDefault="00CD677D" w:rsidP="00CD677D">
            <w:pPr>
              <w:snapToGrid w:val="0"/>
              <w:jc w:val="center"/>
              <w:rPr>
                <w:sz w:val="25"/>
                <w:szCs w:val="25"/>
                <w:lang w:val="uk-UA"/>
              </w:rPr>
            </w:pPr>
          </w:p>
          <w:p w:rsidR="00CD677D" w:rsidRPr="00CD677D" w:rsidRDefault="00CD677D" w:rsidP="00CD677D">
            <w:pPr>
              <w:snapToGrid w:val="0"/>
              <w:jc w:val="center"/>
              <w:rPr>
                <w:sz w:val="25"/>
                <w:szCs w:val="25"/>
                <w:lang w:val="uk-UA"/>
              </w:rPr>
            </w:pPr>
            <w:r w:rsidRPr="00CD677D">
              <w:rPr>
                <w:sz w:val="25"/>
                <w:szCs w:val="25"/>
                <w:lang w:val="uk-UA"/>
              </w:rPr>
              <w:t>100,0</w:t>
            </w:r>
          </w:p>
        </w:tc>
        <w:tc>
          <w:tcPr>
            <w:tcW w:w="1134" w:type="dxa"/>
            <w:tcBorders>
              <w:top w:val="single" w:sz="4" w:space="0" w:color="000000"/>
              <w:left w:val="single" w:sz="4" w:space="0" w:color="000000"/>
              <w:bottom w:val="single" w:sz="4" w:space="0" w:color="000000"/>
              <w:right w:val="single" w:sz="4" w:space="0" w:color="000000"/>
            </w:tcBorders>
          </w:tcPr>
          <w:p w:rsidR="00CD677D" w:rsidRPr="00CD677D" w:rsidRDefault="00CD677D" w:rsidP="00CD677D">
            <w:pPr>
              <w:snapToGrid w:val="0"/>
              <w:jc w:val="center"/>
              <w:rPr>
                <w:sz w:val="25"/>
                <w:szCs w:val="25"/>
                <w:lang w:val="uk-UA"/>
              </w:rPr>
            </w:pPr>
          </w:p>
          <w:p w:rsidR="00CD677D" w:rsidRPr="00CD677D" w:rsidRDefault="00CD677D" w:rsidP="00CD677D">
            <w:pPr>
              <w:snapToGrid w:val="0"/>
              <w:jc w:val="center"/>
              <w:rPr>
                <w:sz w:val="25"/>
                <w:szCs w:val="25"/>
                <w:lang w:val="uk-UA"/>
              </w:rPr>
            </w:pPr>
            <w:r w:rsidRPr="00CD677D">
              <w:rPr>
                <w:sz w:val="25"/>
                <w:szCs w:val="25"/>
                <w:lang w:val="uk-UA"/>
              </w:rPr>
              <w:t>0,1</w:t>
            </w:r>
          </w:p>
        </w:tc>
        <w:tc>
          <w:tcPr>
            <w:tcW w:w="1134" w:type="dxa"/>
            <w:tcBorders>
              <w:top w:val="single" w:sz="4" w:space="0" w:color="000000"/>
              <w:left w:val="single" w:sz="4" w:space="0" w:color="000000"/>
              <w:bottom w:val="single" w:sz="4" w:space="0" w:color="000000"/>
              <w:right w:val="nil"/>
            </w:tcBorders>
          </w:tcPr>
          <w:p w:rsidR="00CD677D" w:rsidRPr="00CD677D" w:rsidRDefault="00CD677D" w:rsidP="00CD677D">
            <w:pPr>
              <w:snapToGrid w:val="0"/>
              <w:jc w:val="center"/>
              <w:rPr>
                <w:sz w:val="25"/>
                <w:szCs w:val="25"/>
                <w:lang w:val="uk-UA"/>
              </w:rPr>
            </w:pPr>
          </w:p>
          <w:p w:rsidR="00CD677D" w:rsidRPr="00CD677D" w:rsidRDefault="00CD677D" w:rsidP="00CD677D">
            <w:pPr>
              <w:snapToGrid w:val="0"/>
              <w:jc w:val="center"/>
              <w:rPr>
                <w:sz w:val="25"/>
                <w:szCs w:val="25"/>
                <w:lang w:val="uk-UA"/>
              </w:rPr>
            </w:pPr>
            <w:r w:rsidRPr="00CD677D">
              <w:rPr>
                <w:sz w:val="25"/>
                <w:szCs w:val="25"/>
                <w:lang w:val="uk-UA"/>
              </w:rPr>
              <w:t>0</w:t>
            </w:r>
          </w:p>
        </w:tc>
        <w:tc>
          <w:tcPr>
            <w:tcW w:w="1134" w:type="dxa"/>
            <w:tcBorders>
              <w:top w:val="single" w:sz="4" w:space="0" w:color="000000"/>
              <w:left w:val="single" w:sz="4" w:space="0" w:color="000000"/>
              <w:bottom w:val="single" w:sz="4" w:space="0" w:color="000000"/>
              <w:right w:val="single" w:sz="4" w:space="0" w:color="000000"/>
            </w:tcBorders>
          </w:tcPr>
          <w:p w:rsidR="00CD677D" w:rsidRPr="00CD677D" w:rsidRDefault="00CD677D" w:rsidP="00CD677D">
            <w:pPr>
              <w:snapToGrid w:val="0"/>
              <w:jc w:val="center"/>
              <w:rPr>
                <w:sz w:val="25"/>
                <w:szCs w:val="25"/>
                <w:lang w:val="uk-UA"/>
              </w:rPr>
            </w:pPr>
          </w:p>
          <w:p w:rsidR="00CD677D" w:rsidRPr="00CD677D" w:rsidRDefault="00CD677D" w:rsidP="00CD677D">
            <w:pPr>
              <w:snapToGrid w:val="0"/>
              <w:jc w:val="center"/>
              <w:rPr>
                <w:sz w:val="25"/>
                <w:szCs w:val="25"/>
                <w:lang w:val="uk-UA"/>
              </w:rPr>
            </w:pPr>
            <w:r w:rsidRPr="00CD677D">
              <w:rPr>
                <w:sz w:val="25"/>
                <w:szCs w:val="25"/>
                <w:lang w:val="uk-UA"/>
              </w:rPr>
              <w:t>100,0</w:t>
            </w:r>
          </w:p>
        </w:tc>
      </w:tr>
      <w:tr w:rsidR="00CD677D" w:rsidRPr="00CD677D" w:rsidTr="00CD677D">
        <w:tc>
          <w:tcPr>
            <w:tcW w:w="2977"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both"/>
              <w:rPr>
                <w:b/>
                <w:sz w:val="26"/>
                <w:szCs w:val="26"/>
                <w:lang w:val="uk-UA"/>
              </w:rPr>
            </w:pPr>
            <w:r w:rsidRPr="00CD677D">
              <w:rPr>
                <w:b/>
                <w:sz w:val="26"/>
                <w:szCs w:val="26"/>
                <w:lang w:val="uk-UA"/>
              </w:rPr>
              <w:t>Разом</w:t>
            </w:r>
          </w:p>
        </w:tc>
        <w:tc>
          <w:tcPr>
            <w:tcW w:w="1701"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b/>
                <w:sz w:val="26"/>
                <w:szCs w:val="26"/>
                <w:lang w:val="uk-UA"/>
              </w:rPr>
            </w:pPr>
            <w:r w:rsidRPr="00CD677D">
              <w:rPr>
                <w:b/>
                <w:sz w:val="26"/>
                <w:szCs w:val="26"/>
                <w:lang w:val="uk-UA"/>
              </w:rPr>
              <w:t>183859,5</w:t>
            </w:r>
          </w:p>
        </w:tc>
        <w:tc>
          <w:tcPr>
            <w:tcW w:w="1559"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b/>
                <w:sz w:val="26"/>
                <w:szCs w:val="26"/>
                <w:lang w:val="uk-UA"/>
              </w:rPr>
            </w:pPr>
            <w:r w:rsidRPr="00CD677D">
              <w:rPr>
                <w:b/>
                <w:sz w:val="26"/>
                <w:szCs w:val="26"/>
                <w:lang w:val="uk-UA"/>
              </w:rPr>
              <w:t>173414,4</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b/>
                <w:sz w:val="26"/>
                <w:szCs w:val="26"/>
                <w:lang w:val="uk-UA"/>
              </w:rPr>
            </w:pPr>
            <w:r w:rsidRPr="00CD677D">
              <w:rPr>
                <w:b/>
                <w:sz w:val="26"/>
                <w:szCs w:val="26"/>
                <w:lang w:val="uk-UA"/>
              </w:rPr>
              <w:t>100,0</w:t>
            </w:r>
          </w:p>
        </w:tc>
        <w:tc>
          <w:tcPr>
            <w:tcW w:w="1134" w:type="dxa"/>
            <w:tcBorders>
              <w:top w:val="single" w:sz="4" w:space="0" w:color="000000"/>
              <w:left w:val="single" w:sz="4" w:space="0" w:color="000000"/>
              <w:bottom w:val="single" w:sz="4" w:space="0" w:color="000000"/>
              <w:right w:val="nil"/>
            </w:tcBorders>
            <w:hideMark/>
          </w:tcPr>
          <w:p w:rsidR="00CD677D" w:rsidRPr="00CD677D" w:rsidRDefault="00CD677D" w:rsidP="00CD677D">
            <w:pPr>
              <w:snapToGrid w:val="0"/>
              <w:jc w:val="center"/>
              <w:rPr>
                <w:b/>
                <w:sz w:val="26"/>
                <w:szCs w:val="26"/>
                <w:lang w:val="uk-UA"/>
              </w:rPr>
            </w:pPr>
            <w:r w:rsidRPr="00CD677D">
              <w:rPr>
                <w:b/>
                <w:sz w:val="26"/>
                <w:szCs w:val="26"/>
                <w:lang w:val="uk-UA"/>
              </w:rPr>
              <w:t>10445,1</w:t>
            </w:r>
          </w:p>
        </w:tc>
        <w:tc>
          <w:tcPr>
            <w:tcW w:w="1134" w:type="dxa"/>
            <w:tcBorders>
              <w:top w:val="single" w:sz="4" w:space="0" w:color="000000"/>
              <w:left w:val="single" w:sz="4" w:space="0" w:color="000000"/>
              <w:bottom w:val="single" w:sz="4" w:space="0" w:color="000000"/>
              <w:right w:val="single" w:sz="4" w:space="0" w:color="000000"/>
            </w:tcBorders>
            <w:hideMark/>
          </w:tcPr>
          <w:p w:rsidR="00CD677D" w:rsidRPr="00CD677D" w:rsidRDefault="00CD677D" w:rsidP="00CD677D">
            <w:pPr>
              <w:snapToGrid w:val="0"/>
              <w:jc w:val="center"/>
              <w:rPr>
                <w:b/>
                <w:sz w:val="26"/>
                <w:szCs w:val="26"/>
                <w:lang w:val="uk-UA"/>
              </w:rPr>
            </w:pPr>
            <w:r w:rsidRPr="00CD677D">
              <w:rPr>
                <w:b/>
                <w:sz w:val="26"/>
                <w:szCs w:val="26"/>
                <w:lang w:val="uk-UA"/>
              </w:rPr>
              <w:t>94,3</w:t>
            </w:r>
          </w:p>
        </w:tc>
      </w:tr>
    </w:tbl>
    <w:p w:rsidR="00CD677D" w:rsidRPr="00CD677D" w:rsidRDefault="00CD677D" w:rsidP="00CD677D">
      <w:pPr>
        <w:ind w:firstLine="708"/>
        <w:jc w:val="both"/>
        <w:rPr>
          <w:color w:val="000000"/>
          <w:sz w:val="28"/>
          <w:szCs w:val="28"/>
          <w:lang w:val="uk-UA"/>
        </w:rPr>
      </w:pPr>
    </w:p>
    <w:p w:rsidR="00CD677D" w:rsidRPr="00CD677D" w:rsidRDefault="00CD677D" w:rsidP="00CD677D">
      <w:pPr>
        <w:ind w:firstLine="708"/>
        <w:jc w:val="both"/>
        <w:rPr>
          <w:sz w:val="28"/>
          <w:szCs w:val="28"/>
          <w:lang w:val="uk-UA"/>
        </w:rPr>
      </w:pPr>
      <w:r w:rsidRPr="00CD677D">
        <w:rPr>
          <w:sz w:val="28"/>
          <w:szCs w:val="28"/>
          <w:lang w:val="uk-UA"/>
        </w:rPr>
        <w:t xml:space="preserve">На видатки по бюджету, за кодами економічної класифікації за </w:t>
      </w:r>
      <w:r w:rsidR="00CD0CDA">
        <w:rPr>
          <w:sz w:val="28"/>
          <w:szCs w:val="28"/>
          <w:lang w:val="uk-UA"/>
        </w:rPr>
        <w:t xml:space="preserve">        </w:t>
      </w:r>
      <w:r w:rsidRPr="00CD677D">
        <w:rPr>
          <w:sz w:val="28"/>
          <w:szCs w:val="28"/>
          <w:lang w:val="uk-UA"/>
        </w:rPr>
        <w:t>2021 рік, направлено 173414,4 тис.</w:t>
      </w:r>
      <w:r w:rsidR="00CD0CDA">
        <w:rPr>
          <w:sz w:val="28"/>
          <w:szCs w:val="28"/>
          <w:lang w:val="uk-UA"/>
        </w:rPr>
        <w:t xml:space="preserve"> грн.</w:t>
      </w:r>
      <w:r w:rsidRPr="00CD677D">
        <w:rPr>
          <w:sz w:val="28"/>
          <w:szCs w:val="28"/>
          <w:lang w:val="uk-UA"/>
        </w:rPr>
        <w:t>, з них: на заробітну</w:t>
      </w:r>
      <w:r w:rsidR="00E300FA">
        <w:rPr>
          <w:sz w:val="28"/>
          <w:szCs w:val="28"/>
          <w:lang w:val="uk-UA"/>
        </w:rPr>
        <w:t xml:space="preserve"> плату з нарахуванням 143447,4 </w:t>
      </w:r>
      <w:r w:rsidRPr="00CD677D">
        <w:rPr>
          <w:sz w:val="28"/>
          <w:szCs w:val="28"/>
          <w:lang w:val="uk-UA"/>
        </w:rPr>
        <w:t>тис.</w:t>
      </w:r>
      <w:r w:rsidR="00E300FA">
        <w:rPr>
          <w:sz w:val="28"/>
          <w:szCs w:val="28"/>
          <w:lang w:val="uk-UA"/>
        </w:rPr>
        <w:t xml:space="preserve"> грн., або 82,7%; </w:t>
      </w:r>
      <w:r w:rsidRPr="00CD677D">
        <w:rPr>
          <w:sz w:val="28"/>
          <w:szCs w:val="28"/>
          <w:lang w:val="uk-UA"/>
        </w:rPr>
        <w:t>на енергоносії 12997,5 тис.</w:t>
      </w:r>
      <w:r w:rsidR="00CD0CDA">
        <w:rPr>
          <w:sz w:val="28"/>
          <w:szCs w:val="28"/>
          <w:lang w:val="uk-UA"/>
        </w:rPr>
        <w:t xml:space="preserve"> грн.</w:t>
      </w:r>
      <w:r w:rsidRPr="00CD677D">
        <w:rPr>
          <w:sz w:val="28"/>
          <w:szCs w:val="28"/>
          <w:lang w:val="uk-UA"/>
        </w:rPr>
        <w:t>, або 7,5%; на харчування 2714,5 тис.</w:t>
      </w:r>
      <w:r w:rsidR="00CD0CDA">
        <w:rPr>
          <w:sz w:val="28"/>
          <w:szCs w:val="28"/>
          <w:lang w:val="uk-UA"/>
        </w:rPr>
        <w:t xml:space="preserve"> грн.</w:t>
      </w:r>
      <w:r w:rsidRPr="00CD677D">
        <w:rPr>
          <w:sz w:val="28"/>
          <w:szCs w:val="28"/>
          <w:lang w:val="uk-UA"/>
        </w:rPr>
        <w:t>, або 1,6%; на медикаменти 680,6 тис.</w:t>
      </w:r>
      <w:r w:rsidR="00CD0CDA">
        <w:rPr>
          <w:sz w:val="28"/>
          <w:szCs w:val="28"/>
          <w:lang w:val="uk-UA"/>
        </w:rPr>
        <w:t xml:space="preserve"> грн.</w:t>
      </w:r>
      <w:r w:rsidRPr="00CD677D">
        <w:rPr>
          <w:sz w:val="28"/>
          <w:szCs w:val="28"/>
          <w:lang w:val="uk-UA"/>
        </w:rPr>
        <w:t xml:space="preserve">, або 0,4%; на придбання матеріалів, обладнання та </w:t>
      </w:r>
      <w:proofErr w:type="spellStart"/>
      <w:r w:rsidRPr="00CD677D">
        <w:rPr>
          <w:sz w:val="28"/>
          <w:szCs w:val="28"/>
          <w:lang w:val="uk-UA"/>
        </w:rPr>
        <w:t>інвентаря</w:t>
      </w:r>
      <w:proofErr w:type="spellEnd"/>
      <w:r w:rsidRPr="00CD677D">
        <w:rPr>
          <w:sz w:val="28"/>
          <w:szCs w:val="28"/>
          <w:lang w:val="uk-UA"/>
        </w:rPr>
        <w:t xml:space="preserve"> </w:t>
      </w:r>
      <w:r w:rsidR="00CD0CDA">
        <w:rPr>
          <w:sz w:val="28"/>
          <w:szCs w:val="28"/>
          <w:lang w:val="uk-UA"/>
        </w:rPr>
        <w:t xml:space="preserve">           </w:t>
      </w:r>
      <w:r w:rsidRPr="00CD677D">
        <w:rPr>
          <w:sz w:val="28"/>
          <w:szCs w:val="28"/>
          <w:lang w:val="uk-UA"/>
        </w:rPr>
        <w:t>5058,0 тис.</w:t>
      </w:r>
      <w:r w:rsidR="00CD0CDA">
        <w:rPr>
          <w:sz w:val="28"/>
          <w:szCs w:val="28"/>
          <w:lang w:val="uk-UA"/>
        </w:rPr>
        <w:t xml:space="preserve"> грн.</w:t>
      </w:r>
      <w:r w:rsidRPr="00CD677D">
        <w:rPr>
          <w:sz w:val="28"/>
          <w:szCs w:val="28"/>
          <w:lang w:val="uk-UA"/>
        </w:rPr>
        <w:t xml:space="preserve">, або 2,9%; на оплату послуг (крім комунальних) </w:t>
      </w:r>
      <w:r w:rsidR="00CD0CDA">
        <w:rPr>
          <w:sz w:val="28"/>
          <w:szCs w:val="28"/>
          <w:lang w:val="uk-UA"/>
        </w:rPr>
        <w:t xml:space="preserve">             </w:t>
      </w:r>
      <w:r w:rsidRPr="00CD677D">
        <w:rPr>
          <w:sz w:val="28"/>
          <w:szCs w:val="28"/>
          <w:lang w:val="uk-UA"/>
        </w:rPr>
        <w:t>7387,6 тис.</w:t>
      </w:r>
      <w:r w:rsidR="00CD0CDA">
        <w:rPr>
          <w:sz w:val="28"/>
          <w:szCs w:val="28"/>
          <w:lang w:val="uk-UA"/>
        </w:rPr>
        <w:t xml:space="preserve"> грн.</w:t>
      </w:r>
      <w:r w:rsidRPr="00CD677D">
        <w:rPr>
          <w:sz w:val="28"/>
          <w:szCs w:val="28"/>
          <w:lang w:val="uk-UA"/>
        </w:rPr>
        <w:t>, або 4,3%  на інші витрати 1128,8 тис.</w:t>
      </w:r>
      <w:r w:rsidR="00CD0CDA">
        <w:rPr>
          <w:sz w:val="28"/>
          <w:szCs w:val="28"/>
          <w:lang w:val="uk-UA"/>
        </w:rPr>
        <w:t xml:space="preserve"> грн.</w:t>
      </w:r>
      <w:r w:rsidRPr="00CD677D">
        <w:rPr>
          <w:sz w:val="28"/>
          <w:szCs w:val="28"/>
          <w:lang w:val="uk-UA"/>
        </w:rPr>
        <w:t xml:space="preserve">, або на 0,6%. </w:t>
      </w:r>
    </w:p>
    <w:p w:rsidR="00CD677D" w:rsidRPr="00CD677D" w:rsidRDefault="00CD677D" w:rsidP="00CD677D">
      <w:pPr>
        <w:ind w:firstLine="708"/>
        <w:jc w:val="both"/>
        <w:rPr>
          <w:sz w:val="28"/>
          <w:szCs w:val="28"/>
          <w:lang w:val="uk-UA"/>
        </w:rPr>
      </w:pPr>
      <w:r w:rsidRPr="00CD677D">
        <w:rPr>
          <w:b/>
          <w:sz w:val="28"/>
          <w:szCs w:val="28"/>
          <w:lang w:val="uk-UA"/>
        </w:rPr>
        <w:t>Видатки на утримання  органів місцевого самоврядування</w:t>
      </w:r>
      <w:r w:rsidRPr="00CD677D">
        <w:rPr>
          <w:sz w:val="28"/>
          <w:szCs w:val="28"/>
          <w:lang w:val="uk-UA"/>
        </w:rPr>
        <w:t xml:space="preserve"> по бюджету складають 23002,4 тис.</w:t>
      </w:r>
      <w:r w:rsidR="001805E8">
        <w:rPr>
          <w:sz w:val="28"/>
          <w:szCs w:val="28"/>
          <w:lang w:val="uk-UA"/>
        </w:rPr>
        <w:t xml:space="preserve"> </w:t>
      </w:r>
      <w:r w:rsidRPr="00CD677D">
        <w:rPr>
          <w:sz w:val="28"/>
          <w:szCs w:val="28"/>
          <w:lang w:val="uk-UA"/>
        </w:rPr>
        <w:t xml:space="preserve">грн. Питома вага виконання видатків на заробітну плату </w:t>
      </w:r>
      <w:r w:rsidR="00E300FA">
        <w:rPr>
          <w:sz w:val="28"/>
          <w:szCs w:val="28"/>
          <w:lang w:val="uk-UA"/>
        </w:rPr>
        <w:t xml:space="preserve">з нарахуваннями складає 88,4%, </w:t>
      </w:r>
      <w:r w:rsidRPr="00CD677D">
        <w:rPr>
          <w:sz w:val="28"/>
          <w:szCs w:val="28"/>
          <w:lang w:val="uk-UA"/>
        </w:rPr>
        <w:t>на оплату комунальних послуг та енергоносіїв 4,4%, та на інші видатки 7,2%.</w:t>
      </w:r>
    </w:p>
    <w:p w:rsidR="00CD677D" w:rsidRPr="00CD677D" w:rsidRDefault="00CD677D" w:rsidP="00CD677D">
      <w:pPr>
        <w:ind w:firstLine="708"/>
        <w:jc w:val="both"/>
        <w:rPr>
          <w:sz w:val="28"/>
          <w:szCs w:val="28"/>
          <w:lang w:val="uk-UA"/>
        </w:rPr>
      </w:pPr>
      <w:r w:rsidRPr="00CD677D">
        <w:rPr>
          <w:sz w:val="28"/>
          <w:szCs w:val="28"/>
          <w:lang w:val="uk-UA"/>
        </w:rPr>
        <w:t xml:space="preserve">Станом на кінець року штатна чисельність працівників органів місцевого самоврядування склала 108,5 одиниць, що на 3,5 штатні одиниці </w:t>
      </w:r>
      <w:r w:rsidRPr="00CD677D">
        <w:rPr>
          <w:sz w:val="28"/>
          <w:szCs w:val="28"/>
          <w:lang w:val="uk-UA"/>
        </w:rPr>
        <w:lastRenderedPageBreak/>
        <w:t>більше ніж на початок року. Фактично зайнятих 99,5 штатних одиниць, в тому числі:</w:t>
      </w:r>
    </w:p>
    <w:p w:rsidR="00CD677D" w:rsidRPr="00CD677D" w:rsidRDefault="00CD677D" w:rsidP="00CD677D">
      <w:pPr>
        <w:ind w:firstLine="708"/>
        <w:jc w:val="both"/>
        <w:rPr>
          <w:sz w:val="28"/>
          <w:szCs w:val="28"/>
          <w:lang w:val="uk-UA"/>
        </w:rPr>
      </w:pPr>
      <w:r w:rsidRPr="00CD677D">
        <w:rPr>
          <w:sz w:val="28"/>
          <w:szCs w:val="28"/>
          <w:lang w:val="uk-UA"/>
        </w:rPr>
        <w:t>- по КПКВ 0150 «Організаційне, інформ</w:t>
      </w:r>
      <w:r w:rsidR="001805E8">
        <w:rPr>
          <w:sz w:val="28"/>
          <w:szCs w:val="28"/>
          <w:lang w:val="uk-UA"/>
        </w:rPr>
        <w:t>аційно-аналітичне та матеріаль</w:t>
      </w:r>
      <w:r w:rsidRPr="00CD677D">
        <w:rPr>
          <w:sz w:val="28"/>
          <w:szCs w:val="28"/>
          <w:lang w:val="uk-UA"/>
        </w:rPr>
        <w:t xml:space="preserve">но-технічне забезпечення діяльності обласної ради, районної ради, районної у місті ради (у разі її створення), міської, селищної, сільської рад», апарат міської ради, загальна кількість ставок працівників складає </w:t>
      </w:r>
      <w:r w:rsidR="001805E8">
        <w:rPr>
          <w:sz w:val="28"/>
          <w:szCs w:val="28"/>
          <w:lang w:val="uk-UA"/>
        </w:rPr>
        <w:t xml:space="preserve">            </w:t>
      </w:r>
      <w:r w:rsidRPr="00CD677D">
        <w:rPr>
          <w:sz w:val="28"/>
          <w:szCs w:val="28"/>
          <w:lang w:val="uk-UA"/>
        </w:rPr>
        <w:t>71,5 шт.</w:t>
      </w:r>
      <w:r w:rsidR="001805E8">
        <w:rPr>
          <w:sz w:val="28"/>
          <w:szCs w:val="28"/>
          <w:lang w:val="uk-UA"/>
        </w:rPr>
        <w:t xml:space="preserve"> </w:t>
      </w:r>
      <w:r w:rsidRPr="00CD677D">
        <w:rPr>
          <w:sz w:val="28"/>
          <w:szCs w:val="28"/>
          <w:lang w:val="uk-UA"/>
        </w:rPr>
        <w:t>од., що на 2,5 шт.</w:t>
      </w:r>
      <w:r w:rsidR="001805E8">
        <w:rPr>
          <w:sz w:val="28"/>
          <w:szCs w:val="28"/>
          <w:lang w:val="uk-UA"/>
        </w:rPr>
        <w:t xml:space="preserve"> </w:t>
      </w:r>
      <w:r w:rsidRPr="00CD677D">
        <w:rPr>
          <w:sz w:val="28"/>
          <w:szCs w:val="28"/>
          <w:lang w:val="uk-UA"/>
        </w:rPr>
        <w:t>од. більше в порівнянні з початком року (в</w:t>
      </w:r>
      <w:r w:rsidR="001805E8">
        <w:rPr>
          <w:sz w:val="28"/>
          <w:szCs w:val="28"/>
          <w:lang w:val="uk-UA"/>
        </w:rPr>
        <w:t>в</w:t>
      </w:r>
      <w:r w:rsidRPr="00CD677D">
        <w:rPr>
          <w:sz w:val="28"/>
          <w:szCs w:val="28"/>
          <w:lang w:val="uk-UA"/>
        </w:rPr>
        <w:t>едено в штат 1 ставку водія, 1 ставку головного спеціаліста з питань запобігання та виявлення корупції, 1,5 ставки охоронника, виведено з штату 1 ставку головного спеціаліста відділу діловодства), з них фактично зайнятих 70,5 шт.</w:t>
      </w:r>
      <w:r w:rsidR="001805E8">
        <w:rPr>
          <w:sz w:val="28"/>
          <w:szCs w:val="28"/>
          <w:lang w:val="uk-UA"/>
        </w:rPr>
        <w:t xml:space="preserve"> </w:t>
      </w:r>
      <w:r w:rsidRPr="00CD677D">
        <w:rPr>
          <w:sz w:val="28"/>
          <w:szCs w:val="28"/>
          <w:lang w:val="uk-UA"/>
        </w:rPr>
        <w:t xml:space="preserve">од. </w:t>
      </w:r>
    </w:p>
    <w:p w:rsidR="00CD677D" w:rsidRPr="00CD677D" w:rsidRDefault="00CD677D" w:rsidP="00CD677D">
      <w:pPr>
        <w:ind w:firstLine="708"/>
        <w:jc w:val="both"/>
        <w:rPr>
          <w:sz w:val="28"/>
          <w:szCs w:val="28"/>
          <w:lang w:val="uk-UA"/>
        </w:rPr>
      </w:pPr>
      <w:r w:rsidRPr="00CD677D">
        <w:rPr>
          <w:sz w:val="28"/>
          <w:szCs w:val="28"/>
          <w:lang w:val="uk-UA"/>
        </w:rPr>
        <w:t>- по КПКВ 0160 «Керівництво і управління у відповідній сфері у містах (місті Києві), селищах, селах, територіальних громадах» загальна кількість ставок становить 37 шт. од., з них зайнятих 29 шт.</w:t>
      </w:r>
      <w:r w:rsidR="001805E8">
        <w:rPr>
          <w:sz w:val="28"/>
          <w:szCs w:val="28"/>
          <w:lang w:val="uk-UA"/>
        </w:rPr>
        <w:t xml:space="preserve"> </w:t>
      </w:r>
      <w:r w:rsidRPr="00CD677D">
        <w:rPr>
          <w:sz w:val="28"/>
          <w:szCs w:val="28"/>
          <w:lang w:val="uk-UA"/>
        </w:rPr>
        <w:t xml:space="preserve">од.. </w:t>
      </w:r>
    </w:p>
    <w:p w:rsidR="00CD677D" w:rsidRPr="00CD677D" w:rsidRDefault="00CD677D" w:rsidP="00CD677D">
      <w:pPr>
        <w:ind w:firstLine="708"/>
        <w:jc w:val="both"/>
        <w:rPr>
          <w:sz w:val="28"/>
          <w:szCs w:val="28"/>
          <w:lang w:val="uk-UA"/>
        </w:rPr>
      </w:pPr>
      <w:r w:rsidRPr="00CD677D">
        <w:rPr>
          <w:b/>
          <w:sz w:val="28"/>
          <w:szCs w:val="28"/>
          <w:lang w:val="uk-UA"/>
        </w:rPr>
        <w:t xml:space="preserve">Видатки на утримання установ освіти </w:t>
      </w:r>
      <w:r w:rsidRPr="00CD677D">
        <w:rPr>
          <w:sz w:val="28"/>
          <w:szCs w:val="28"/>
          <w:lang w:val="uk-UA"/>
        </w:rPr>
        <w:t>складають 119390,4 тис.</w:t>
      </w:r>
      <w:r w:rsidR="001805E8">
        <w:rPr>
          <w:sz w:val="28"/>
          <w:szCs w:val="28"/>
          <w:lang w:val="uk-UA"/>
        </w:rPr>
        <w:t xml:space="preserve"> </w:t>
      </w:r>
      <w:r w:rsidRPr="00CD677D">
        <w:rPr>
          <w:sz w:val="28"/>
          <w:szCs w:val="28"/>
          <w:lang w:val="uk-UA"/>
        </w:rPr>
        <w:t>грн. Питома вага виконання видатків на заробітну плату з нарахуваннями складає 89,1 %, на оплату комунальн</w:t>
      </w:r>
      <w:r w:rsidR="001805E8">
        <w:rPr>
          <w:sz w:val="28"/>
          <w:szCs w:val="28"/>
          <w:lang w:val="uk-UA"/>
        </w:rPr>
        <w:t>их послуг та енергоносіїв 5,5%,</w:t>
      </w:r>
      <w:r w:rsidRPr="00CD677D">
        <w:rPr>
          <w:sz w:val="28"/>
          <w:szCs w:val="28"/>
          <w:lang w:val="uk-UA"/>
        </w:rPr>
        <w:t xml:space="preserve"> на </w:t>
      </w:r>
      <w:r w:rsidR="001805E8">
        <w:rPr>
          <w:sz w:val="28"/>
          <w:szCs w:val="28"/>
          <w:lang w:val="uk-UA"/>
        </w:rPr>
        <w:t>продукти харчування 2,0% та на інші видатки 3,4</w:t>
      </w:r>
      <w:r w:rsidRPr="00CD677D">
        <w:rPr>
          <w:sz w:val="28"/>
          <w:szCs w:val="28"/>
          <w:lang w:val="uk-UA"/>
        </w:rPr>
        <w:t>%. По програмі «Шкільний автобус» проведено видатків на суму 1751,4 тис.</w:t>
      </w:r>
      <w:r w:rsidR="001805E8">
        <w:rPr>
          <w:sz w:val="28"/>
          <w:szCs w:val="28"/>
          <w:lang w:val="uk-UA"/>
        </w:rPr>
        <w:t xml:space="preserve"> </w:t>
      </w:r>
      <w:r w:rsidRPr="00CD677D">
        <w:rPr>
          <w:sz w:val="28"/>
          <w:szCs w:val="28"/>
          <w:lang w:val="uk-UA"/>
        </w:rPr>
        <w:t>грн. (93,5% до плану).</w:t>
      </w:r>
    </w:p>
    <w:p w:rsidR="00CD677D" w:rsidRPr="00CD677D" w:rsidRDefault="00CD677D" w:rsidP="00CD677D">
      <w:pPr>
        <w:ind w:firstLine="708"/>
        <w:jc w:val="both"/>
        <w:rPr>
          <w:sz w:val="28"/>
          <w:szCs w:val="28"/>
          <w:lang w:val="uk-UA"/>
        </w:rPr>
      </w:pPr>
      <w:proofErr w:type="spellStart"/>
      <w:r w:rsidRPr="00CD677D">
        <w:rPr>
          <w:sz w:val="28"/>
          <w:szCs w:val="28"/>
        </w:rPr>
        <w:t>Кількість</w:t>
      </w:r>
      <w:proofErr w:type="spellEnd"/>
      <w:r w:rsidRPr="00CD677D">
        <w:rPr>
          <w:sz w:val="28"/>
          <w:szCs w:val="28"/>
        </w:rPr>
        <w:t xml:space="preserve"> </w:t>
      </w:r>
      <w:proofErr w:type="spellStart"/>
      <w:r w:rsidRPr="00CD677D">
        <w:rPr>
          <w:sz w:val="28"/>
          <w:szCs w:val="28"/>
        </w:rPr>
        <w:t>закладів</w:t>
      </w:r>
      <w:proofErr w:type="spellEnd"/>
      <w:r w:rsidRPr="00CD677D">
        <w:rPr>
          <w:sz w:val="28"/>
          <w:szCs w:val="28"/>
        </w:rPr>
        <w:t xml:space="preserve"> </w:t>
      </w:r>
      <w:proofErr w:type="spellStart"/>
      <w:r w:rsidRPr="00CD677D">
        <w:rPr>
          <w:sz w:val="28"/>
          <w:szCs w:val="28"/>
        </w:rPr>
        <w:t>освіти</w:t>
      </w:r>
      <w:proofErr w:type="spellEnd"/>
      <w:r w:rsidRPr="00CD677D">
        <w:rPr>
          <w:sz w:val="28"/>
          <w:szCs w:val="28"/>
        </w:rPr>
        <w:t xml:space="preserve"> станом </w:t>
      </w:r>
      <w:proofErr w:type="gramStart"/>
      <w:r w:rsidRPr="00CD677D">
        <w:rPr>
          <w:sz w:val="28"/>
          <w:szCs w:val="28"/>
        </w:rPr>
        <w:t>на</w:t>
      </w:r>
      <w:proofErr w:type="gramEnd"/>
      <w:r w:rsidRPr="00CD677D">
        <w:rPr>
          <w:sz w:val="28"/>
          <w:szCs w:val="28"/>
          <w:lang w:val="uk-UA"/>
        </w:rPr>
        <w:t xml:space="preserve"> кінець року </w:t>
      </w:r>
      <w:proofErr w:type="spellStart"/>
      <w:r w:rsidRPr="00CD677D">
        <w:rPr>
          <w:sz w:val="28"/>
          <w:szCs w:val="28"/>
        </w:rPr>
        <w:t>складає</w:t>
      </w:r>
      <w:proofErr w:type="spellEnd"/>
      <w:r w:rsidRPr="00CD677D">
        <w:rPr>
          <w:sz w:val="28"/>
          <w:szCs w:val="28"/>
        </w:rPr>
        <w:t xml:space="preserve"> </w:t>
      </w:r>
      <w:r w:rsidRPr="00CD677D">
        <w:rPr>
          <w:sz w:val="28"/>
          <w:szCs w:val="28"/>
          <w:lang w:val="uk-UA"/>
        </w:rPr>
        <w:t>11 одиниць, що на 13 одиниць менше в порівнянні з початком року. Зменшення відбулося за рахунок реорганізації закладів освіти шляхом приєднання 13 юридичних осіб до 4 загальноосвітніх закладів.</w:t>
      </w:r>
    </w:p>
    <w:p w:rsidR="00CD677D" w:rsidRPr="00CD677D" w:rsidRDefault="00CD677D" w:rsidP="00CD677D">
      <w:pPr>
        <w:ind w:firstLine="708"/>
        <w:jc w:val="both"/>
        <w:rPr>
          <w:sz w:val="28"/>
          <w:szCs w:val="28"/>
          <w:lang w:val="uk-UA"/>
        </w:rPr>
      </w:pPr>
      <w:r w:rsidRPr="00CD677D">
        <w:rPr>
          <w:sz w:val="28"/>
          <w:szCs w:val="28"/>
          <w:lang w:val="uk-UA"/>
        </w:rPr>
        <w:t>Заг</w:t>
      </w:r>
      <w:r w:rsidR="001805E8">
        <w:rPr>
          <w:sz w:val="28"/>
          <w:szCs w:val="28"/>
          <w:lang w:val="uk-UA"/>
        </w:rPr>
        <w:t>альна кількість штатних одиниць</w:t>
      </w:r>
      <w:r w:rsidRPr="00CD677D">
        <w:rPr>
          <w:sz w:val="28"/>
          <w:szCs w:val="28"/>
          <w:lang w:val="uk-UA"/>
        </w:rPr>
        <w:t xml:space="preserve"> по КПКВ 1010 «Надання</w:t>
      </w:r>
      <w:r w:rsidR="00E300FA">
        <w:rPr>
          <w:sz w:val="28"/>
          <w:szCs w:val="28"/>
          <w:lang w:val="uk-UA"/>
        </w:rPr>
        <w:t xml:space="preserve"> дошкільної освіти» зменшилася </w:t>
      </w:r>
      <w:r w:rsidRPr="00CD677D">
        <w:rPr>
          <w:sz w:val="28"/>
          <w:szCs w:val="28"/>
          <w:lang w:val="uk-UA"/>
        </w:rPr>
        <w:t>на 31,</w:t>
      </w:r>
      <w:r w:rsidR="00E300FA">
        <w:rPr>
          <w:sz w:val="28"/>
          <w:szCs w:val="28"/>
          <w:lang w:val="uk-UA"/>
        </w:rPr>
        <w:t xml:space="preserve">06 ставки порівняно з початком </w:t>
      </w:r>
      <w:r w:rsidRPr="00CD677D">
        <w:rPr>
          <w:sz w:val="28"/>
          <w:szCs w:val="28"/>
          <w:lang w:val="uk-UA"/>
        </w:rPr>
        <w:t xml:space="preserve">року </w:t>
      </w:r>
      <w:r w:rsidR="001805E8">
        <w:rPr>
          <w:sz w:val="28"/>
          <w:szCs w:val="28"/>
          <w:lang w:val="uk-UA"/>
        </w:rPr>
        <w:t>(</w:t>
      </w:r>
      <w:r w:rsidRPr="00CD677D">
        <w:rPr>
          <w:sz w:val="28"/>
          <w:szCs w:val="28"/>
          <w:lang w:val="uk-UA"/>
        </w:rPr>
        <w:t>введення 1,5 ставки фахівця з пуб</w:t>
      </w:r>
      <w:r w:rsidR="001805E8">
        <w:rPr>
          <w:sz w:val="28"/>
          <w:szCs w:val="28"/>
          <w:lang w:val="uk-UA"/>
        </w:rPr>
        <w:t>лічних закупівель, зменшення на</w:t>
      </w:r>
      <w:r w:rsidRPr="00CD677D">
        <w:rPr>
          <w:sz w:val="28"/>
          <w:szCs w:val="28"/>
          <w:lang w:val="uk-UA"/>
        </w:rPr>
        <w:t xml:space="preserve"> 32,56 ставки в результаті приєднання 3 закладів дошкільної освіти до загальноосвітніх навчальних закладів) і складає 95,015 шт.</w:t>
      </w:r>
      <w:r w:rsidR="001805E8">
        <w:rPr>
          <w:sz w:val="28"/>
          <w:szCs w:val="28"/>
          <w:lang w:val="uk-UA"/>
        </w:rPr>
        <w:t xml:space="preserve"> </w:t>
      </w:r>
      <w:r w:rsidRPr="00CD677D">
        <w:rPr>
          <w:sz w:val="28"/>
          <w:szCs w:val="28"/>
          <w:lang w:val="uk-UA"/>
        </w:rPr>
        <w:t>од., з них ставок педагогічних працівників 42,665 шт.</w:t>
      </w:r>
      <w:r w:rsidR="001805E8">
        <w:rPr>
          <w:sz w:val="28"/>
          <w:szCs w:val="28"/>
          <w:lang w:val="uk-UA"/>
        </w:rPr>
        <w:t xml:space="preserve"> од.</w:t>
      </w:r>
      <w:r w:rsidRPr="00CD677D">
        <w:rPr>
          <w:sz w:val="28"/>
          <w:szCs w:val="28"/>
          <w:lang w:val="uk-UA"/>
        </w:rPr>
        <w:t xml:space="preserve"> Фактично зайняті ставки працівників -90,94 шт.</w:t>
      </w:r>
      <w:r w:rsidR="001805E8">
        <w:rPr>
          <w:sz w:val="28"/>
          <w:szCs w:val="28"/>
          <w:lang w:val="uk-UA"/>
        </w:rPr>
        <w:t xml:space="preserve"> </w:t>
      </w:r>
      <w:r w:rsidRPr="00CD677D">
        <w:rPr>
          <w:sz w:val="28"/>
          <w:szCs w:val="28"/>
          <w:lang w:val="uk-UA"/>
        </w:rPr>
        <w:t>од.</w:t>
      </w:r>
    </w:p>
    <w:p w:rsidR="00CD677D" w:rsidRPr="00CD677D" w:rsidRDefault="00CD677D" w:rsidP="00CD677D">
      <w:pPr>
        <w:ind w:firstLine="708"/>
        <w:jc w:val="both"/>
        <w:rPr>
          <w:sz w:val="28"/>
          <w:szCs w:val="28"/>
          <w:lang w:val="uk-UA"/>
        </w:rPr>
      </w:pPr>
      <w:r w:rsidRPr="00CD677D">
        <w:rPr>
          <w:sz w:val="28"/>
          <w:szCs w:val="28"/>
          <w:lang w:val="uk-UA"/>
        </w:rPr>
        <w:t>Видатки загального фонду бюджету на харчування дітей в дитячих дошкільних закладах освіти по загальному фонду проведено на суму           869,6 тис.</w:t>
      </w:r>
      <w:r w:rsidR="001805E8">
        <w:rPr>
          <w:sz w:val="28"/>
          <w:szCs w:val="28"/>
          <w:lang w:val="uk-UA"/>
        </w:rPr>
        <w:t xml:space="preserve"> </w:t>
      </w:r>
      <w:r w:rsidRPr="00CD677D">
        <w:rPr>
          <w:sz w:val="28"/>
          <w:szCs w:val="28"/>
          <w:lang w:val="uk-UA"/>
        </w:rPr>
        <w:t xml:space="preserve">грн. Вартість одного </w:t>
      </w:r>
      <w:proofErr w:type="spellStart"/>
      <w:r w:rsidRPr="00CD677D">
        <w:rPr>
          <w:sz w:val="28"/>
          <w:szCs w:val="28"/>
          <w:lang w:val="uk-UA"/>
        </w:rPr>
        <w:t>діто-дня</w:t>
      </w:r>
      <w:proofErr w:type="spellEnd"/>
      <w:r w:rsidRPr="00CD677D">
        <w:rPr>
          <w:sz w:val="28"/>
          <w:szCs w:val="28"/>
          <w:lang w:val="uk-UA"/>
        </w:rPr>
        <w:t xml:space="preserve"> харчування дітей в дитячих дошкільних закладах складає в</w:t>
      </w:r>
      <w:r w:rsidR="00E300FA">
        <w:rPr>
          <w:sz w:val="28"/>
          <w:szCs w:val="28"/>
          <w:lang w:val="uk-UA"/>
        </w:rPr>
        <w:t xml:space="preserve"> середньому по району 42,63грн </w:t>
      </w:r>
      <w:r w:rsidRPr="00CD677D">
        <w:rPr>
          <w:sz w:val="28"/>
          <w:szCs w:val="28"/>
          <w:lang w:val="uk-UA"/>
        </w:rPr>
        <w:t>(загальний та спеціальний фонд).</w:t>
      </w:r>
    </w:p>
    <w:p w:rsidR="00CD677D" w:rsidRPr="00CD677D" w:rsidRDefault="00CD677D" w:rsidP="00CD677D">
      <w:pPr>
        <w:ind w:firstLine="708"/>
        <w:jc w:val="both"/>
        <w:rPr>
          <w:sz w:val="28"/>
          <w:szCs w:val="28"/>
          <w:lang w:val="uk-UA"/>
        </w:rPr>
      </w:pPr>
      <w:r w:rsidRPr="00CD677D">
        <w:rPr>
          <w:sz w:val="28"/>
          <w:szCs w:val="28"/>
          <w:lang w:val="uk-UA"/>
        </w:rPr>
        <w:t>Загальна кількість ставок по КПКВ 1021 «Надання загальної середньої освіти заклад</w:t>
      </w:r>
      <w:r w:rsidR="001805E8">
        <w:rPr>
          <w:sz w:val="28"/>
          <w:szCs w:val="28"/>
          <w:lang w:val="uk-UA"/>
        </w:rPr>
        <w:t>ами загальної середньої освіти»</w:t>
      </w:r>
      <w:r w:rsidRPr="00CD677D">
        <w:rPr>
          <w:sz w:val="28"/>
          <w:szCs w:val="28"/>
          <w:lang w:val="uk-UA"/>
        </w:rPr>
        <w:t xml:space="preserve"> 264,06 шт.</w:t>
      </w:r>
      <w:r w:rsidR="001805E8">
        <w:rPr>
          <w:sz w:val="28"/>
          <w:szCs w:val="28"/>
          <w:lang w:val="uk-UA"/>
        </w:rPr>
        <w:t xml:space="preserve"> </w:t>
      </w:r>
      <w:r w:rsidRPr="00CD677D">
        <w:rPr>
          <w:sz w:val="28"/>
          <w:szCs w:val="28"/>
          <w:lang w:val="uk-UA"/>
        </w:rPr>
        <w:t>од., з них фактично зайнятих 261,46 шт.</w:t>
      </w:r>
      <w:r w:rsidR="001805E8">
        <w:rPr>
          <w:sz w:val="28"/>
          <w:szCs w:val="28"/>
          <w:lang w:val="uk-UA"/>
        </w:rPr>
        <w:t xml:space="preserve"> </w:t>
      </w:r>
      <w:r w:rsidRPr="00CD677D">
        <w:rPr>
          <w:sz w:val="28"/>
          <w:szCs w:val="28"/>
          <w:lang w:val="uk-UA"/>
        </w:rPr>
        <w:t>од.</w:t>
      </w:r>
    </w:p>
    <w:p w:rsidR="00CD677D" w:rsidRPr="00CD677D" w:rsidRDefault="00CD677D" w:rsidP="0019222A">
      <w:pPr>
        <w:tabs>
          <w:tab w:val="left" w:pos="709"/>
        </w:tabs>
        <w:ind w:firstLine="708"/>
        <w:jc w:val="both"/>
        <w:rPr>
          <w:sz w:val="28"/>
          <w:szCs w:val="28"/>
          <w:lang w:val="uk-UA"/>
        </w:rPr>
      </w:pPr>
      <w:r w:rsidRPr="00CD677D">
        <w:rPr>
          <w:sz w:val="28"/>
          <w:szCs w:val="28"/>
          <w:lang w:val="uk-UA"/>
        </w:rPr>
        <w:t>Загальна кількість фактично зайнятих посад педагогічних працівників по КПКВ 1031 «Надання загальної середньої освіти закладами загальної сере</w:t>
      </w:r>
      <w:r w:rsidR="00E300FA">
        <w:rPr>
          <w:sz w:val="28"/>
          <w:szCs w:val="28"/>
          <w:lang w:val="uk-UA"/>
        </w:rPr>
        <w:t>дньої освіти»</w:t>
      </w:r>
      <w:r w:rsidRPr="00CD677D">
        <w:rPr>
          <w:sz w:val="28"/>
          <w:szCs w:val="28"/>
          <w:lang w:val="uk-UA"/>
        </w:rPr>
        <w:t xml:space="preserve"> становить 380,19 шт.</w:t>
      </w:r>
      <w:r w:rsidR="0019222A">
        <w:rPr>
          <w:sz w:val="28"/>
          <w:szCs w:val="28"/>
          <w:lang w:val="uk-UA"/>
        </w:rPr>
        <w:t xml:space="preserve"> </w:t>
      </w:r>
      <w:r w:rsidRPr="00CD677D">
        <w:rPr>
          <w:sz w:val="28"/>
          <w:szCs w:val="28"/>
          <w:lang w:val="uk-UA"/>
        </w:rPr>
        <w:t>од., що на 25,84 шт.</w:t>
      </w:r>
      <w:r w:rsidR="0019222A">
        <w:rPr>
          <w:sz w:val="28"/>
          <w:szCs w:val="28"/>
          <w:lang w:val="uk-UA"/>
        </w:rPr>
        <w:t xml:space="preserve"> </w:t>
      </w:r>
      <w:r w:rsidRPr="00CD677D">
        <w:rPr>
          <w:sz w:val="28"/>
          <w:szCs w:val="28"/>
          <w:lang w:val="uk-UA"/>
        </w:rPr>
        <w:t>од. менше в порівнянні з початком року. Фактично зайнятих 379,61 шт.</w:t>
      </w:r>
      <w:r w:rsidR="0019222A">
        <w:rPr>
          <w:sz w:val="28"/>
          <w:szCs w:val="28"/>
          <w:lang w:val="uk-UA"/>
        </w:rPr>
        <w:t xml:space="preserve"> </w:t>
      </w:r>
      <w:r w:rsidRPr="00CD677D">
        <w:rPr>
          <w:sz w:val="28"/>
          <w:szCs w:val="28"/>
          <w:lang w:val="uk-UA"/>
        </w:rPr>
        <w:t>од.</w:t>
      </w:r>
    </w:p>
    <w:p w:rsidR="00CD677D" w:rsidRPr="00CD677D" w:rsidRDefault="00CD677D" w:rsidP="00CD677D">
      <w:pPr>
        <w:ind w:firstLine="708"/>
        <w:jc w:val="both"/>
        <w:rPr>
          <w:sz w:val="28"/>
          <w:szCs w:val="28"/>
          <w:lang w:val="uk-UA"/>
        </w:rPr>
      </w:pPr>
      <w:r w:rsidRPr="00CD677D">
        <w:rPr>
          <w:sz w:val="28"/>
          <w:szCs w:val="28"/>
          <w:lang w:val="uk-UA"/>
        </w:rPr>
        <w:t>Видатки загального фонду на харчування  по загальноосвітніх школах проведено на загальну суму 1486,7 тис.</w:t>
      </w:r>
      <w:r w:rsidR="0019222A">
        <w:rPr>
          <w:sz w:val="28"/>
          <w:szCs w:val="28"/>
          <w:lang w:val="uk-UA"/>
        </w:rPr>
        <w:t xml:space="preserve"> </w:t>
      </w:r>
      <w:r w:rsidRPr="00CD677D">
        <w:rPr>
          <w:sz w:val="28"/>
          <w:szCs w:val="28"/>
          <w:lang w:val="uk-UA"/>
        </w:rPr>
        <w:t>грн.</w:t>
      </w:r>
    </w:p>
    <w:p w:rsidR="00CD677D" w:rsidRPr="00CD677D" w:rsidRDefault="00CD677D" w:rsidP="00CD677D">
      <w:pPr>
        <w:ind w:firstLine="708"/>
        <w:jc w:val="both"/>
        <w:rPr>
          <w:sz w:val="28"/>
          <w:szCs w:val="28"/>
          <w:lang w:val="uk-UA"/>
        </w:rPr>
      </w:pPr>
      <w:r w:rsidRPr="00CD677D">
        <w:rPr>
          <w:sz w:val="28"/>
          <w:szCs w:val="28"/>
          <w:lang w:val="uk-UA"/>
        </w:rPr>
        <w:t xml:space="preserve">Вартість одного </w:t>
      </w:r>
      <w:proofErr w:type="spellStart"/>
      <w:r w:rsidRPr="00CD677D">
        <w:rPr>
          <w:sz w:val="28"/>
          <w:szCs w:val="28"/>
          <w:lang w:val="uk-UA"/>
        </w:rPr>
        <w:t>діто-дня</w:t>
      </w:r>
      <w:proofErr w:type="spellEnd"/>
      <w:r w:rsidRPr="00CD677D">
        <w:rPr>
          <w:sz w:val="28"/>
          <w:szCs w:val="28"/>
          <w:lang w:val="uk-UA"/>
        </w:rPr>
        <w:t xml:space="preserve"> харчування вихованців ЗОШ (включаючи дітей дошкільного віку, 1-4 класи, пільгова категорія) склала 14,75 грн.</w:t>
      </w:r>
    </w:p>
    <w:p w:rsidR="00CD677D" w:rsidRPr="00CD677D" w:rsidRDefault="00CD677D" w:rsidP="00CD677D">
      <w:pPr>
        <w:ind w:firstLine="708"/>
        <w:jc w:val="both"/>
        <w:rPr>
          <w:sz w:val="28"/>
          <w:szCs w:val="28"/>
          <w:lang w:val="uk-UA"/>
        </w:rPr>
      </w:pPr>
      <w:r w:rsidRPr="00CD677D">
        <w:rPr>
          <w:sz w:val="28"/>
          <w:szCs w:val="28"/>
          <w:lang w:val="uk-UA"/>
        </w:rPr>
        <w:lastRenderedPageBreak/>
        <w:t xml:space="preserve">Виконання </w:t>
      </w:r>
      <w:proofErr w:type="spellStart"/>
      <w:r w:rsidRPr="00CD677D">
        <w:rPr>
          <w:sz w:val="28"/>
          <w:szCs w:val="28"/>
          <w:lang w:val="uk-UA"/>
        </w:rPr>
        <w:t>діто-днів</w:t>
      </w:r>
      <w:proofErr w:type="spellEnd"/>
      <w:r w:rsidRPr="00CD677D">
        <w:rPr>
          <w:sz w:val="28"/>
          <w:szCs w:val="28"/>
          <w:lang w:val="uk-UA"/>
        </w:rPr>
        <w:t xml:space="preserve"> відвідування дітей дошкільного віку за 12</w:t>
      </w:r>
      <w:r w:rsidR="00E300FA">
        <w:rPr>
          <w:sz w:val="28"/>
          <w:szCs w:val="28"/>
          <w:lang w:val="uk-UA"/>
        </w:rPr>
        <w:t xml:space="preserve"> місяців складає 34,117 тис., </w:t>
      </w:r>
      <w:r w:rsidRPr="00CD677D">
        <w:rPr>
          <w:sz w:val="28"/>
          <w:szCs w:val="28"/>
          <w:lang w:val="uk-UA"/>
        </w:rPr>
        <w:t xml:space="preserve">що на 8,696 тис. менше плану (хвороба дітей, карантинні заходи).  Виконання </w:t>
      </w:r>
      <w:proofErr w:type="spellStart"/>
      <w:r w:rsidRPr="00CD677D">
        <w:rPr>
          <w:sz w:val="28"/>
          <w:szCs w:val="28"/>
          <w:lang w:val="uk-UA"/>
        </w:rPr>
        <w:t>діто-днів</w:t>
      </w:r>
      <w:proofErr w:type="spellEnd"/>
      <w:r w:rsidRPr="00CD677D">
        <w:rPr>
          <w:sz w:val="28"/>
          <w:szCs w:val="28"/>
          <w:lang w:val="uk-UA"/>
        </w:rPr>
        <w:t xml:space="preserve"> відвідування дітей дошкільного віку школи-дитячого садка складає 15,328 тис., що на 3,782 тис. менше запланованих показників (хвороба дітей, карантинні заходи). По 1-4 класах виконання </w:t>
      </w:r>
      <w:proofErr w:type="spellStart"/>
      <w:r w:rsidRPr="00CD677D">
        <w:rPr>
          <w:sz w:val="28"/>
          <w:szCs w:val="28"/>
          <w:lang w:val="uk-UA"/>
        </w:rPr>
        <w:t>діто-днів</w:t>
      </w:r>
      <w:proofErr w:type="spellEnd"/>
      <w:r w:rsidRPr="00CD677D">
        <w:rPr>
          <w:sz w:val="28"/>
          <w:szCs w:val="28"/>
          <w:lang w:val="uk-UA"/>
        </w:rPr>
        <w:t xml:space="preserve"> склало138,846 тис.</w:t>
      </w:r>
    </w:p>
    <w:p w:rsidR="00CD677D" w:rsidRPr="00CD677D" w:rsidRDefault="00CD677D" w:rsidP="00CD677D">
      <w:pPr>
        <w:ind w:firstLine="708"/>
        <w:jc w:val="both"/>
        <w:rPr>
          <w:sz w:val="28"/>
          <w:szCs w:val="28"/>
          <w:lang w:val="uk-UA"/>
        </w:rPr>
      </w:pPr>
      <w:r w:rsidRPr="00CD677D">
        <w:rPr>
          <w:sz w:val="28"/>
          <w:szCs w:val="28"/>
          <w:lang w:val="uk-UA"/>
        </w:rPr>
        <w:t>Заг</w:t>
      </w:r>
      <w:r w:rsidR="00E300FA">
        <w:rPr>
          <w:sz w:val="28"/>
          <w:szCs w:val="28"/>
          <w:lang w:val="uk-UA"/>
        </w:rPr>
        <w:t xml:space="preserve">альна кількість ставок по КПКВ </w:t>
      </w:r>
      <w:r w:rsidRPr="00CD677D">
        <w:rPr>
          <w:sz w:val="28"/>
          <w:szCs w:val="28"/>
          <w:lang w:val="uk-UA"/>
        </w:rPr>
        <w:t>1141 «Забезпечення діяльності інших закладів у сфері освіти» становить 14,20 шт.</w:t>
      </w:r>
      <w:r w:rsidR="0019222A">
        <w:rPr>
          <w:sz w:val="28"/>
          <w:szCs w:val="28"/>
          <w:lang w:val="uk-UA"/>
        </w:rPr>
        <w:t xml:space="preserve"> </w:t>
      </w:r>
      <w:r w:rsidRPr="00CD677D">
        <w:rPr>
          <w:sz w:val="28"/>
          <w:szCs w:val="28"/>
          <w:lang w:val="uk-UA"/>
        </w:rPr>
        <w:t>од., що на 6,05 шт.</w:t>
      </w:r>
      <w:r w:rsidR="0019222A">
        <w:rPr>
          <w:sz w:val="28"/>
          <w:szCs w:val="28"/>
          <w:lang w:val="uk-UA"/>
        </w:rPr>
        <w:t xml:space="preserve"> </w:t>
      </w:r>
      <w:r w:rsidRPr="00CD677D">
        <w:rPr>
          <w:sz w:val="28"/>
          <w:szCs w:val="28"/>
          <w:lang w:val="uk-UA"/>
        </w:rPr>
        <w:t>од. менше порівняно з початком року, з них зайнятих 13,7 шт. од..</w:t>
      </w:r>
    </w:p>
    <w:p w:rsidR="00CD677D" w:rsidRPr="00CD677D" w:rsidRDefault="00CD677D" w:rsidP="00CD677D">
      <w:pPr>
        <w:ind w:firstLine="708"/>
        <w:jc w:val="both"/>
        <w:rPr>
          <w:sz w:val="28"/>
          <w:szCs w:val="28"/>
          <w:lang w:val="uk-UA"/>
        </w:rPr>
      </w:pPr>
      <w:r w:rsidRPr="00CD677D">
        <w:rPr>
          <w:sz w:val="28"/>
          <w:szCs w:val="28"/>
          <w:lang w:val="uk-UA"/>
        </w:rPr>
        <w:t>Загальна кількість штатних одиниць по КПКВ 1151 «Забезпечення діяльності інклюзивно-ресурсних центрів за рахунок коштів місцевого бюджету» складає 1 шт.</w:t>
      </w:r>
      <w:r w:rsidR="0019222A">
        <w:rPr>
          <w:sz w:val="28"/>
          <w:szCs w:val="28"/>
          <w:lang w:val="uk-UA"/>
        </w:rPr>
        <w:t xml:space="preserve"> </w:t>
      </w:r>
      <w:r w:rsidRPr="00CD677D">
        <w:rPr>
          <w:sz w:val="28"/>
          <w:szCs w:val="28"/>
          <w:lang w:val="uk-UA"/>
        </w:rPr>
        <w:t>од., з них фактично зайнятих - 0 шт. од..</w:t>
      </w:r>
    </w:p>
    <w:p w:rsidR="00CD677D" w:rsidRPr="00CD677D" w:rsidRDefault="00CD677D" w:rsidP="00CD677D">
      <w:pPr>
        <w:ind w:firstLine="708"/>
        <w:jc w:val="both"/>
        <w:rPr>
          <w:sz w:val="28"/>
          <w:szCs w:val="28"/>
          <w:lang w:val="uk-UA"/>
        </w:rPr>
      </w:pPr>
      <w:r w:rsidRPr="00CD677D">
        <w:rPr>
          <w:sz w:val="28"/>
          <w:szCs w:val="28"/>
          <w:lang w:val="uk-UA"/>
        </w:rPr>
        <w:t>Загальна кількість ставок по КПКВ 1152 «Забезпечення діяльності інклюзивно-ресурсних центрів за рахунок освітньої субвенції» становить 5 шт. од. і з початку року залишилась незмінною, з них зайнятих 1,5 шт. од..</w:t>
      </w:r>
    </w:p>
    <w:p w:rsidR="00CD677D" w:rsidRPr="00CD677D" w:rsidRDefault="00CD677D" w:rsidP="00CD677D">
      <w:pPr>
        <w:ind w:firstLine="708"/>
        <w:jc w:val="both"/>
        <w:rPr>
          <w:sz w:val="28"/>
          <w:szCs w:val="28"/>
          <w:lang w:val="uk-UA"/>
        </w:rPr>
      </w:pPr>
      <w:r w:rsidRPr="00CD677D">
        <w:rPr>
          <w:sz w:val="28"/>
          <w:szCs w:val="28"/>
          <w:lang w:val="uk-UA"/>
        </w:rPr>
        <w:t>Загальна кількість ставок по КПКВ 1070 «Надання позашкільної освіти закладами позашкільної освіти, заходи із позашкільної роботи з дітьми» складає 48,93 шт. од., з н</w:t>
      </w:r>
      <w:r w:rsidR="00E300FA">
        <w:rPr>
          <w:sz w:val="28"/>
          <w:szCs w:val="28"/>
          <w:lang w:val="uk-UA"/>
        </w:rPr>
        <w:t xml:space="preserve">их </w:t>
      </w:r>
      <w:proofErr w:type="spellStart"/>
      <w:r w:rsidR="00E300FA">
        <w:rPr>
          <w:sz w:val="28"/>
          <w:szCs w:val="28"/>
          <w:lang w:val="uk-UA"/>
        </w:rPr>
        <w:t>педпрацівників</w:t>
      </w:r>
      <w:proofErr w:type="spellEnd"/>
      <w:r w:rsidR="00E300FA">
        <w:rPr>
          <w:sz w:val="28"/>
          <w:szCs w:val="28"/>
          <w:lang w:val="uk-UA"/>
        </w:rPr>
        <w:t xml:space="preserve"> </w:t>
      </w:r>
      <w:r w:rsidR="0019222A">
        <w:rPr>
          <w:sz w:val="28"/>
          <w:szCs w:val="28"/>
          <w:lang w:val="uk-UA"/>
        </w:rPr>
        <w:t>39,43 шт. од</w:t>
      </w:r>
      <w:r w:rsidR="00E300FA">
        <w:rPr>
          <w:sz w:val="28"/>
          <w:szCs w:val="28"/>
          <w:lang w:val="uk-UA"/>
        </w:rPr>
        <w:t xml:space="preserve">., фактично зайнятих посад </w:t>
      </w:r>
      <w:r w:rsidRPr="00CD677D">
        <w:rPr>
          <w:sz w:val="28"/>
          <w:szCs w:val="28"/>
          <w:lang w:val="uk-UA"/>
        </w:rPr>
        <w:t>46,82 ставки.</w:t>
      </w:r>
    </w:p>
    <w:p w:rsidR="00CD677D" w:rsidRPr="00CD677D" w:rsidRDefault="00CD677D" w:rsidP="00CD677D">
      <w:pPr>
        <w:ind w:firstLine="708"/>
        <w:jc w:val="both"/>
        <w:rPr>
          <w:sz w:val="28"/>
          <w:szCs w:val="28"/>
          <w:lang w:val="uk-UA"/>
        </w:rPr>
      </w:pPr>
      <w:r w:rsidRPr="00CD677D">
        <w:rPr>
          <w:sz w:val="28"/>
          <w:szCs w:val="28"/>
          <w:lang w:val="uk-UA"/>
        </w:rPr>
        <w:t xml:space="preserve">Станом на 31 грудня 2021 року загальна кількість дітей, що навчаються в дитячій музичній школі склала – 160 учнів. Загальна кількість вихованців в центрі позашкільної освіти – 930 дітей. </w:t>
      </w:r>
    </w:p>
    <w:p w:rsidR="00CD677D" w:rsidRPr="00CD677D" w:rsidRDefault="00CD677D" w:rsidP="00CD677D">
      <w:pPr>
        <w:ind w:firstLine="708"/>
        <w:jc w:val="both"/>
        <w:rPr>
          <w:sz w:val="28"/>
          <w:szCs w:val="28"/>
          <w:lang w:val="uk-UA"/>
        </w:rPr>
      </w:pPr>
      <w:r w:rsidRPr="00CD677D">
        <w:rPr>
          <w:b/>
          <w:sz w:val="28"/>
          <w:szCs w:val="28"/>
          <w:lang w:val="uk-UA"/>
        </w:rPr>
        <w:t>Видатки на утримання установ охорони здоров</w:t>
      </w:r>
      <w:r w:rsidR="00E300FA">
        <w:rPr>
          <w:rFonts w:ascii="Arial" w:hAnsi="Arial" w:cs="Arial"/>
          <w:b/>
          <w:sz w:val="28"/>
          <w:szCs w:val="28"/>
          <w:rtl/>
          <w:lang w:val="uk-UA" w:eastAsia="he-IL" w:bidi="he-IL"/>
        </w:rPr>
        <w:t>'</w:t>
      </w:r>
      <w:r w:rsidRPr="00CD677D">
        <w:rPr>
          <w:b/>
          <w:sz w:val="28"/>
          <w:szCs w:val="28"/>
          <w:lang w:val="uk-UA"/>
        </w:rPr>
        <w:t>я</w:t>
      </w:r>
      <w:r w:rsidRPr="00CD677D">
        <w:rPr>
          <w:sz w:val="28"/>
          <w:szCs w:val="28"/>
          <w:lang w:val="uk-UA"/>
        </w:rPr>
        <w:t xml:space="preserve"> виконано на суму 4307,4 тис. грн. Питома вага виконання видатків на заробітну плату з нарахуваннями складає 4,1% (177,7 тис.</w:t>
      </w:r>
      <w:r w:rsidR="0019222A">
        <w:rPr>
          <w:sz w:val="28"/>
          <w:szCs w:val="28"/>
          <w:lang w:val="uk-UA"/>
        </w:rPr>
        <w:t xml:space="preserve"> </w:t>
      </w:r>
      <w:r w:rsidRPr="00CD677D">
        <w:rPr>
          <w:sz w:val="28"/>
          <w:szCs w:val="28"/>
          <w:lang w:val="uk-UA"/>
        </w:rPr>
        <w:t>грн.),</w:t>
      </w:r>
      <w:r w:rsidRPr="00CD677D">
        <w:rPr>
          <w:color w:val="FF0000"/>
          <w:sz w:val="28"/>
          <w:szCs w:val="28"/>
          <w:lang w:val="uk-UA"/>
        </w:rPr>
        <w:t xml:space="preserve"> </w:t>
      </w:r>
      <w:r w:rsidRPr="00CD677D">
        <w:rPr>
          <w:sz w:val="28"/>
          <w:szCs w:val="28"/>
          <w:lang w:val="uk-UA"/>
        </w:rPr>
        <w:t>на енергоносії 68,4% (2944,3 тис.</w:t>
      </w:r>
      <w:r w:rsidR="0019222A">
        <w:rPr>
          <w:sz w:val="28"/>
          <w:szCs w:val="28"/>
          <w:lang w:val="uk-UA"/>
        </w:rPr>
        <w:t xml:space="preserve"> </w:t>
      </w:r>
      <w:r w:rsidRPr="00CD677D">
        <w:rPr>
          <w:sz w:val="28"/>
          <w:szCs w:val="28"/>
          <w:lang w:val="uk-UA"/>
        </w:rPr>
        <w:t>грн.),</w:t>
      </w:r>
      <w:r w:rsidR="00E300FA">
        <w:rPr>
          <w:color w:val="FF0000"/>
          <w:sz w:val="28"/>
          <w:szCs w:val="28"/>
          <w:lang w:val="uk-UA"/>
        </w:rPr>
        <w:t xml:space="preserve"> </w:t>
      </w:r>
      <w:r w:rsidRPr="00CD677D">
        <w:rPr>
          <w:color w:val="000000"/>
          <w:sz w:val="28"/>
          <w:szCs w:val="28"/>
          <w:lang w:val="uk-UA"/>
        </w:rPr>
        <w:t>та на інші видатки 27,5 % (1185,4 тис.</w:t>
      </w:r>
      <w:r w:rsidR="0019222A">
        <w:rPr>
          <w:color w:val="000000"/>
          <w:sz w:val="28"/>
          <w:szCs w:val="28"/>
          <w:lang w:val="uk-UA"/>
        </w:rPr>
        <w:t xml:space="preserve"> </w:t>
      </w:r>
      <w:r w:rsidRPr="00CD677D">
        <w:rPr>
          <w:color w:val="000000"/>
          <w:sz w:val="28"/>
          <w:szCs w:val="28"/>
          <w:lang w:val="uk-UA"/>
        </w:rPr>
        <w:t xml:space="preserve">грн.).  </w:t>
      </w:r>
    </w:p>
    <w:p w:rsidR="00CD677D" w:rsidRPr="00CD677D" w:rsidRDefault="00CD677D" w:rsidP="00CD677D">
      <w:pPr>
        <w:ind w:firstLine="708"/>
        <w:jc w:val="both"/>
        <w:rPr>
          <w:sz w:val="28"/>
          <w:szCs w:val="28"/>
        </w:rPr>
      </w:pPr>
      <w:proofErr w:type="spellStart"/>
      <w:r w:rsidRPr="00CD677D">
        <w:rPr>
          <w:sz w:val="28"/>
          <w:szCs w:val="28"/>
        </w:rPr>
        <w:t>Кількість</w:t>
      </w:r>
      <w:proofErr w:type="spellEnd"/>
      <w:r w:rsidRPr="00CD677D">
        <w:rPr>
          <w:sz w:val="28"/>
          <w:szCs w:val="28"/>
        </w:rPr>
        <w:t xml:space="preserve"> </w:t>
      </w:r>
      <w:proofErr w:type="spellStart"/>
      <w:r w:rsidRPr="00CD677D">
        <w:rPr>
          <w:sz w:val="28"/>
          <w:szCs w:val="28"/>
        </w:rPr>
        <w:t>закл</w:t>
      </w:r>
      <w:r w:rsidR="00E300FA">
        <w:rPr>
          <w:sz w:val="28"/>
          <w:szCs w:val="28"/>
        </w:rPr>
        <w:t>адів</w:t>
      </w:r>
      <w:proofErr w:type="spellEnd"/>
      <w:r w:rsidR="00E300FA">
        <w:rPr>
          <w:sz w:val="28"/>
          <w:szCs w:val="28"/>
        </w:rPr>
        <w:t xml:space="preserve"> </w:t>
      </w:r>
      <w:proofErr w:type="gramStart"/>
      <w:r w:rsidR="00E300FA">
        <w:rPr>
          <w:sz w:val="28"/>
          <w:szCs w:val="28"/>
        </w:rPr>
        <w:t>в</w:t>
      </w:r>
      <w:proofErr w:type="gramEnd"/>
      <w:r w:rsidR="00E300FA">
        <w:rPr>
          <w:sz w:val="28"/>
          <w:szCs w:val="28"/>
        </w:rPr>
        <w:t xml:space="preserve"> </w:t>
      </w:r>
      <w:proofErr w:type="spellStart"/>
      <w:r w:rsidR="00E300FA">
        <w:rPr>
          <w:sz w:val="28"/>
          <w:szCs w:val="28"/>
        </w:rPr>
        <w:t>галузі</w:t>
      </w:r>
      <w:proofErr w:type="spellEnd"/>
      <w:r w:rsidR="00E300FA">
        <w:rPr>
          <w:sz w:val="28"/>
          <w:szCs w:val="28"/>
        </w:rPr>
        <w:t xml:space="preserve"> </w:t>
      </w:r>
      <w:proofErr w:type="spellStart"/>
      <w:r w:rsidR="00E300FA">
        <w:rPr>
          <w:sz w:val="28"/>
          <w:szCs w:val="28"/>
        </w:rPr>
        <w:t>охорони</w:t>
      </w:r>
      <w:proofErr w:type="spellEnd"/>
      <w:r w:rsidR="00E300FA">
        <w:rPr>
          <w:sz w:val="28"/>
          <w:szCs w:val="28"/>
        </w:rPr>
        <w:t xml:space="preserve"> </w:t>
      </w:r>
      <w:proofErr w:type="spellStart"/>
      <w:r w:rsidR="00E300FA">
        <w:rPr>
          <w:sz w:val="28"/>
          <w:szCs w:val="28"/>
        </w:rPr>
        <w:t>здоров'я</w:t>
      </w:r>
      <w:proofErr w:type="spellEnd"/>
      <w:r w:rsidR="00E300FA">
        <w:rPr>
          <w:sz w:val="28"/>
          <w:szCs w:val="28"/>
        </w:rPr>
        <w:t xml:space="preserve"> </w:t>
      </w:r>
      <w:r w:rsidRPr="00CD677D">
        <w:rPr>
          <w:sz w:val="28"/>
          <w:szCs w:val="28"/>
        </w:rPr>
        <w:t xml:space="preserve">станом на </w:t>
      </w:r>
      <w:r w:rsidRPr="00CD677D">
        <w:rPr>
          <w:sz w:val="28"/>
          <w:szCs w:val="28"/>
          <w:lang w:val="uk-UA"/>
        </w:rPr>
        <w:t>кінець</w:t>
      </w:r>
      <w:r w:rsidRPr="00CD677D">
        <w:rPr>
          <w:sz w:val="28"/>
          <w:szCs w:val="28"/>
        </w:rPr>
        <w:t xml:space="preserve"> року </w:t>
      </w:r>
      <w:proofErr w:type="spellStart"/>
      <w:r w:rsidRPr="00CD677D">
        <w:rPr>
          <w:sz w:val="28"/>
          <w:szCs w:val="28"/>
        </w:rPr>
        <w:t>складає</w:t>
      </w:r>
      <w:proofErr w:type="spellEnd"/>
      <w:r w:rsidRPr="00CD677D">
        <w:rPr>
          <w:sz w:val="28"/>
          <w:szCs w:val="28"/>
        </w:rPr>
        <w:t xml:space="preserve"> </w:t>
      </w:r>
      <w:r w:rsidRPr="00CD677D">
        <w:rPr>
          <w:sz w:val="28"/>
          <w:szCs w:val="28"/>
          <w:lang w:val="uk-UA"/>
        </w:rPr>
        <w:t xml:space="preserve">2 </w:t>
      </w:r>
      <w:proofErr w:type="spellStart"/>
      <w:r w:rsidRPr="00CD677D">
        <w:rPr>
          <w:sz w:val="28"/>
          <w:szCs w:val="28"/>
        </w:rPr>
        <w:t>одиниці</w:t>
      </w:r>
      <w:proofErr w:type="spellEnd"/>
      <w:r w:rsidRPr="00CD677D">
        <w:rPr>
          <w:sz w:val="28"/>
          <w:szCs w:val="28"/>
        </w:rPr>
        <w:t>.</w:t>
      </w:r>
    </w:p>
    <w:p w:rsidR="00CD677D" w:rsidRPr="00CD677D" w:rsidRDefault="00CD677D" w:rsidP="00CD677D">
      <w:pPr>
        <w:ind w:firstLine="708"/>
        <w:jc w:val="both"/>
        <w:rPr>
          <w:sz w:val="28"/>
          <w:szCs w:val="28"/>
          <w:lang w:val="uk-UA"/>
        </w:rPr>
      </w:pPr>
      <w:r w:rsidRPr="00CD677D">
        <w:rPr>
          <w:sz w:val="28"/>
          <w:szCs w:val="28"/>
          <w:lang w:val="uk-UA"/>
        </w:rPr>
        <w:t xml:space="preserve"> </w:t>
      </w:r>
      <w:r w:rsidRPr="00CD677D">
        <w:rPr>
          <w:b/>
          <w:sz w:val="28"/>
          <w:szCs w:val="28"/>
          <w:lang w:val="uk-UA"/>
        </w:rPr>
        <w:t>Видатки на соціальний захист та соціальне забезпечення</w:t>
      </w:r>
      <w:r w:rsidRPr="00CD677D">
        <w:rPr>
          <w:sz w:val="28"/>
          <w:szCs w:val="28"/>
          <w:lang w:val="uk-UA"/>
        </w:rPr>
        <w:t xml:space="preserve"> </w:t>
      </w:r>
      <w:r w:rsidRPr="00CD677D">
        <w:rPr>
          <w:b/>
          <w:sz w:val="28"/>
          <w:szCs w:val="28"/>
          <w:lang w:val="uk-UA"/>
        </w:rPr>
        <w:t>бюджету</w:t>
      </w:r>
      <w:r w:rsidRPr="00CD677D">
        <w:rPr>
          <w:sz w:val="28"/>
          <w:szCs w:val="28"/>
          <w:lang w:val="uk-UA"/>
        </w:rPr>
        <w:t xml:space="preserve"> виконані на суму 7166,3 тис.</w:t>
      </w:r>
      <w:r w:rsidR="0019222A">
        <w:rPr>
          <w:sz w:val="28"/>
          <w:szCs w:val="28"/>
          <w:lang w:val="uk-UA"/>
        </w:rPr>
        <w:t xml:space="preserve"> </w:t>
      </w:r>
      <w:r w:rsidRPr="00CD677D">
        <w:rPr>
          <w:sz w:val="28"/>
          <w:szCs w:val="28"/>
          <w:lang w:val="uk-UA"/>
        </w:rPr>
        <w:t>грн. Питома вага виконання видатків на заробітну плату з нарахуваннями складає 79,0%, на оплату комунальних послуг та енергоносі</w:t>
      </w:r>
      <w:r w:rsidR="0019222A">
        <w:rPr>
          <w:sz w:val="28"/>
          <w:szCs w:val="28"/>
          <w:lang w:val="uk-UA"/>
        </w:rPr>
        <w:t>їв 3,3%,</w:t>
      </w:r>
      <w:r w:rsidRPr="00CD677D">
        <w:rPr>
          <w:sz w:val="28"/>
          <w:szCs w:val="28"/>
          <w:lang w:val="uk-UA"/>
        </w:rPr>
        <w:t xml:space="preserve"> на продукти харчування 5,0% та на інші видатки 12,7%. </w:t>
      </w:r>
    </w:p>
    <w:p w:rsidR="00CD677D" w:rsidRPr="00CD677D" w:rsidRDefault="00CD677D" w:rsidP="0019222A">
      <w:pPr>
        <w:ind w:firstLine="709"/>
        <w:jc w:val="both"/>
        <w:rPr>
          <w:sz w:val="28"/>
          <w:szCs w:val="28"/>
          <w:lang w:val="uk-UA"/>
        </w:rPr>
      </w:pPr>
      <w:r w:rsidRPr="00CD677D">
        <w:rPr>
          <w:sz w:val="28"/>
          <w:szCs w:val="28"/>
          <w:lang w:val="uk-UA"/>
        </w:rPr>
        <w:t>Відповідно до міської цільової Програми підтримки громадян, що опинились в складних життєвих обставинах та і</w:t>
      </w:r>
      <w:r w:rsidR="0019222A">
        <w:rPr>
          <w:sz w:val="28"/>
          <w:szCs w:val="28"/>
          <w:lang w:val="uk-UA"/>
        </w:rPr>
        <w:t>нших категорій громадян на 2021–</w:t>
      </w:r>
      <w:r w:rsidRPr="00CD677D">
        <w:rPr>
          <w:sz w:val="28"/>
          <w:szCs w:val="28"/>
          <w:lang w:val="uk-UA"/>
        </w:rPr>
        <w:t xml:space="preserve">2023 роки надано одноразову матеріальну допомогу </w:t>
      </w:r>
      <w:r w:rsidR="0019222A">
        <w:rPr>
          <w:sz w:val="28"/>
          <w:szCs w:val="28"/>
          <w:lang w:val="uk-UA"/>
        </w:rPr>
        <w:t>347 особам на суму</w:t>
      </w:r>
      <w:r w:rsidRPr="00CD677D">
        <w:rPr>
          <w:sz w:val="28"/>
          <w:szCs w:val="28"/>
          <w:lang w:val="uk-UA"/>
        </w:rPr>
        <w:t xml:space="preserve"> 585,800 тис.</w:t>
      </w:r>
      <w:r w:rsidR="0019222A">
        <w:rPr>
          <w:sz w:val="28"/>
          <w:szCs w:val="28"/>
          <w:lang w:val="uk-UA"/>
        </w:rPr>
        <w:t xml:space="preserve"> </w:t>
      </w:r>
      <w:r w:rsidRPr="00CD677D">
        <w:rPr>
          <w:sz w:val="28"/>
          <w:szCs w:val="28"/>
          <w:lang w:val="uk-UA"/>
        </w:rPr>
        <w:t>грн.</w:t>
      </w:r>
    </w:p>
    <w:p w:rsidR="00CD677D" w:rsidRPr="00CD677D" w:rsidRDefault="00CD677D" w:rsidP="0019222A">
      <w:pPr>
        <w:jc w:val="both"/>
        <w:rPr>
          <w:sz w:val="28"/>
          <w:szCs w:val="28"/>
          <w:lang w:val="uk-UA"/>
        </w:rPr>
      </w:pPr>
      <w:r w:rsidRPr="00CD677D">
        <w:rPr>
          <w:sz w:val="28"/>
          <w:szCs w:val="28"/>
          <w:lang w:val="uk-UA"/>
        </w:rPr>
        <w:tab/>
        <w:t>Кількість закладів в галузі соціального захисту та охорони здоров'я  станом на 31.12.2021 року складає 1 од., що на 2 заклади менше в порівнянні з початком 2021 року (створено 1 заклад КУ «Центр надання соціальних послуг Ананьївської міської ради», що є правонаступником 3 закладів Ананьївської міської ради в галузі «Соціальний захист та соціальне забезпечення»).</w:t>
      </w:r>
    </w:p>
    <w:p w:rsidR="00CD677D" w:rsidRPr="00CD677D" w:rsidRDefault="00CD677D" w:rsidP="0019222A">
      <w:pPr>
        <w:tabs>
          <w:tab w:val="left" w:pos="709"/>
        </w:tabs>
        <w:ind w:firstLine="708"/>
        <w:jc w:val="both"/>
        <w:rPr>
          <w:sz w:val="28"/>
          <w:szCs w:val="28"/>
          <w:lang w:val="uk-UA"/>
        </w:rPr>
      </w:pPr>
      <w:r w:rsidRPr="00CD677D">
        <w:rPr>
          <w:sz w:val="28"/>
          <w:szCs w:val="28"/>
          <w:lang w:val="uk-UA"/>
        </w:rPr>
        <w:t>По КПКВ 3241 «Забезпечення діяльності інших закладів у сфері соціального захисту і соціального забезпечення» загальна кі</w:t>
      </w:r>
      <w:r w:rsidR="00E300FA">
        <w:rPr>
          <w:sz w:val="28"/>
          <w:szCs w:val="28"/>
          <w:lang w:val="uk-UA"/>
        </w:rPr>
        <w:t xml:space="preserve">лькість ставок по КПКВ складає </w:t>
      </w:r>
      <w:r w:rsidRPr="00CD677D">
        <w:rPr>
          <w:sz w:val="28"/>
          <w:szCs w:val="28"/>
          <w:lang w:val="uk-UA"/>
        </w:rPr>
        <w:t>52,75 шт.</w:t>
      </w:r>
      <w:r w:rsidR="0019222A">
        <w:rPr>
          <w:sz w:val="28"/>
          <w:szCs w:val="28"/>
          <w:lang w:val="uk-UA"/>
        </w:rPr>
        <w:t xml:space="preserve"> </w:t>
      </w:r>
      <w:r w:rsidRPr="00CD677D">
        <w:rPr>
          <w:sz w:val="28"/>
          <w:szCs w:val="28"/>
          <w:lang w:val="uk-UA"/>
        </w:rPr>
        <w:t>од., з них фактично зайнятих ставок 51,5 шт.</w:t>
      </w:r>
      <w:r w:rsidR="0019222A">
        <w:rPr>
          <w:sz w:val="28"/>
          <w:szCs w:val="28"/>
          <w:lang w:val="uk-UA"/>
        </w:rPr>
        <w:t xml:space="preserve"> </w:t>
      </w:r>
      <w:r w:rsidRPr="00CD677D">
        <w:rPr>
          <w:sz w:val="28"/>
          <w:szCs w:val="28"/>
          <w:lang w:val="uk-UA"/>
        </w:rPr>
        <w:t xml:space="preserve">од. </w:t>
      </w:r>
    </w:p>
    <w:p w:rsidR="00CD677D" w:rsidRPr="00CD677D" w:rsidRDefault="00CD677D" w:rsidP="0019222A">
      <w:pPr>
        <w:ind w:firstLine="709"/>
        <w:jc w:val="both"/>
        <w:rPr>
          <w:sz w:val="28"/>
          <w:szCs w:val="28"/>
          <w:lang w:val="uk-UA"/>
        </w:rPr>
      </w:pPr>
      <w:r w:rsidRPr="00CD677D">
        <w:rPr>
          <w:sz w:val="28"/>
          <w:szCs w:val="28"/>
          <w:lang w:val="uk-UA"/>
        </w:rPr>
        <w:lastRenderedPageBreak/>
        <w:t>На стаціонарному догляді фактична чисельність осіб – 14, планова – 18. Середні витрати утримання проживання одного п</w:t>
      </w:r>
      <w:r w:rsidR="0019222A">
        <w:rPr>
          <w:sz w:val="28"/>
          <w:szCs w:val="28"/>
          <w:lang w:val="uk-UA"/>
        </w:rPr>
        <w:t>ідопічного за 2021 рік склали –</w:t>
      </w:r>
      <w:r w:rsidR="00E300FA">
        <w:rPr>
          <w:sz w:val="28"/>
          <w:szCs w:val="28"/>
          <w:lang w:val="uk-UA"/>
        </w:rPr>
        <w:t xml:space="preserve"> 126,39 </w:t>
      </w:r>
      <w:r w:rsidRPr="00CD677D">
        <w:rPr>
          <w:sz w:val="28"/>
          <w:szCs w:val="28"/>
          <w:lang w:val="uk-UA"/>
        </w:rPr>
        <w:t>тис.</w:t>
      </w:r>
      <w:r w:rsidR="0019222A">
        <w:rPr>
          <w:sz w:val="28"/>
          <w:szCs w:val="28"/>
          <w:lang w:val="uk-UA"/>
        </w:rPr>
        <w:t xml:space="preserve"> </w:t>
      </w:r>
      <w:r w:rsidRPr="00CD677D">
        <w:rPr>
          <w:sz w:val="28"/>
          <w:szCs w:val="28"/>
          <w:lang w:val="uk-UA"/>
        </w:rPr>
        <w:t>грн. Харчування підопічних відділення стаціонарного догляду для постійного або тимчасового проживання виконано за рахунок загального та спеціального фонду  в сумі 213,13 тис.</w:t>
      </w:r>
      <w:r w:rsidR="0019222A">
        <w:rPr>
          <w:sz w:val="28"/>
          <w:szCs w:val="28"/>
          <w:lang w:val="uk-UA"/>
        </w:rPr>
        <w:t xml:space="preserve"> грн.</w:t>
      </w:r>
      <w:r w:rsidRPr="00CD677D">
        <w:rPr>
          <w:sz w:val="28"/>
          <w:szCs w:val="28"/>
          <w:lang w:val="uk-UA"/>
        </w:rPr>
        <w:t>, середня вартість харчування 1 люд/дня -65,79 грн.</w:t>
      </w:r>
    </w:p>
    <w:p w:rsidR="00CD677D" w:rsidRPr="00CD677D" w:rsidRDefault="00CD677D" w:rsidP="00CD677D">
      <w:pPr>
        <w:ind w:firstLine="708"/>
        <w:jc w:val="both"/>
        <w:rPr>
          <w:sz w:val="28"/>
          <w:szCs w:val="28"/>
          <w:lang w:val="uk-UA"/>
        </w:rPr>
      </w:pPr>
      <w:r w:rsidRPr="00CD677D">
        <w:rPr>
          <w:sz w:val="28"/>
          <w:szCs w:val="28"/>
          <w:lang w:val="uk-UA"/>
        </w:rPr>
        <w:t xml:space="preserve">Кількість громадян, яким надаються соціальні послуги за місцем проживання – 190 осіб. Середні витрати на одну особу за 2021 ріку – 15515,20 грн. </w:t>
      </w:r>
    </w:p>
    <w:p w:rsidR="00CD677D" w:rsidRPr="00CD677D" w:rsidRDefault="00CD677D" w:rsidP="0019222A">
      <w:pPr>
        <w:tabs>
          <w:tab w:val="left" w:pos="709"/>
        </w:tabs>
        <w:jc w:val="both"/>
        <w:rPr>
          <w:sz w:val="28"/>
          <w:szCs w:val="28"/>
          <w:lang w:val="uk-UA"/>
        </w:rPr>
      </w:pPr>
      <w:r w:rsidRPr="00CD677D">
        <w:rPr>
          <w:sz w:val="28"/>
          <w:szCs w:val="28"/>
          <w:lang w:val="uk-UA"/>
        </w:rPr>
        <w:tab/>
        <w:t xml:space="preserve">Протягом 2021 року </w:t>
      </w:r>
      <w:proofErr w:type="spellStart"/>
      <w:r w:rsidRPr="00CD677D">
        <w:rPr>
          <w:sz w:val="28"/>
          <w:szCs w:val="28"/>
          <w:lang w:val="uk-UA"/>
        </w:rPr>
        <w:t>Ананьївським</w:t>
      </w:r>
      <w:proofErr w:type="spellEnd"/>
      <w:r w:rsidRPr="00CD677D">
        <w:rPr>
          <w:sz w:val="28"/>
          <w:szCs w:val="28"/>
          <w:lang w:val="uk-UA"/>
        </w:rPr>
        <w:t xml:space="preserve"> міським центром соціальних служб проводилась </w:t>
      </w:r>
      <w:proofErr w:type="spellStart"/>
      <w:r w:rsidRPr="00CD677D">
        <w:rPr>
          <w:sz w:val="28"/>
          <w:szCs w:val="28"/>
          <w:lang w:val="uk-UA"/>
        </w:rPr>
        <w:t>слідуюча</w:t>
      </w:r>
      <w:proofErr w:type="spellEnd"/>
      <w:r w:rsidRPr="00CD677D">
        <w:rPr>
          <w:sz w:val="28"/>
          <w:szCs w:val="28"/>
          <w:lang w:val="uk-UA"/>
        </w:rPr>
        <w:t xml:space="preserve"> робота:</w:t>
      </w:r>
    </w:p>
    <w:p w:rsidR="00CD677D" w:rsidRPr="00CD677D" w:rsidRDefault="00CD677D" w:rsidP="0019222A">
      <w:pPr>
        <w:numPr>
          <w:ilvl w:val="0"/>
          <w:numId w:val="2"/>
        </w:numPr>
        <w:suppressAutoHyphens/>
        <w:ind w:left="0" w:firstLine="709"/>
        <w:jc w:val="both"/>
        <w:rPr>
          <w:sz w:val="28"/>
          <w:szCs w:val="28"/>
          <w:lang w:val="uk-UA"/>
        </w:rPr>
      </w:pPr>
      <w:r w:rsidRPr="00CD677D">
        <w:rPr>
          <w:sz w:val="28"/>
          <w:szCs w:val="28"/>
          <w:lang w:val="uk-UA"/>
        </w:rPr>
        <w:t>кількість сімей, дітей та молоді, які отримали соціальні послуги – 5339 осіб;</w:t>
      </w:r>
    </w:p>
    <w:p w:rsidR="00CD677D" w:rsidRPr="0019222A" w:rsidRDefault="00E300FA" w:rsidP="0019222A">
      <w:pPr>
        <w:pStyle w:val="a5"/>
        <w:numPr>
          <w:ilvl w:val="0"/>
          <w:numId w:val="2"/>
        </w:numPr>
        <w:suppressAutoHyphens/>
        <w:ind w:left="0" w:firstLine="709"/>
        <w:jc w:val="both"/>
        <w:rPr>
          <w:sz w:val="28"/>
          <w:szCs w:val="28"/>
          <w:lang w:val="uk-UA"/>
        </w:rPr>
      </w:pPr>
      <w:r>
        <w:rPr>
          <w:sz w:val="28"/>
          <w:szCs w:val="28"/>
          <w:lang w:val="uk-UA"/>
        </w:rPr>
        <w:t xml:space="preserve">кількість групових заходів (круглих </w:t>
      </w:r>
      <w:r w:rsidR="00CD677D" w:rsidRPr="0019222A">
        <w:rPr>
          <w:sz w:val="28"/>
          <w:szCs w:val="28"/>
          <w:lang w:val="uk-UA"/>
        </w:rPr>
        <w:t>столів</w:t>
      </w:r>
      <w:r>
        <w:rPr>
          <w:sz w:val="28"/>
          <w:szCs w:val="28"/>
          <w:lang w:val="uk-UA"/>
        </w:rPr>
        <w:t xml:space="preserve">, семінарів, </w:t>
      </w:r>
      <w:r w:rsidR="0019222A">
        <w:rPr>
          <w:sz w:val="28"/>
          <w:szCs w:val="28"/>
          <w:lang w:val="uk-UA"/>
        </w:rPr>
        <w:t>лекцій, бесід)–</w:t>
      </w:r>
      <w:r w:rsidR="00CD677D" w:rsidRPr="0019222A">
        <w:rPr>
          <w:sz w:val="28"/>
          <w:szCs w:val="28"/>
          <w:lang w:val="uk-UA"/>
        </w:rPr>
        <w:t>152; кількість учасників, які при</w:t>
      </w:r>
      <w:r w:rsidR="0019222A">
        <w:rPr>
          <w:sz w:val="28"/>
          <w:szCs w:val="28"/>
          <w:lang w:val="uk-UA"/>
        </w:rPr>
        <w:t xml:space="preserve">йняли участь у групових заходах </w:t>
      </w:r>
      <w:r w:rsidR="00CD677D" w:rsidRPr="0019222A">
        <w:rPr>
          <w:sz w:val="28"/>
          <w:szCs w:val="28"/>
          <w:lang w:val="uk-UA"/>
        </w:rPr>
        <w:t xml:space="preserve">– 3981 осіб; середні витрати на проведення одного групового заходу – </w:t>
      </w:r>
      <w:r w:rsidR="0019222A">
        <w:rPr>
          <w:sz w:val="28"/>
          <w:szCs w:val="28"/>
          <w:lang w:val="uk-UA"/>
        </w:rPr>
        <w:t xml:space="preserve">        </w:t>
      </w:r>
      <w:r w:rsidR="00CD677D" w:rsidRPr="0019222A">
        <w:rPr>
          <w:sz w:val="28"/>
          <w:szCs w:val="28"/>
          <w:lang w:val="uk-UA"/>
        </w:rPr>
        <w:t>18,00 грн</w:t>
      </w:r>
      <w:r w:rsidR="0019222A">
        <w:rPr>
          <w:sz w:val="28"/>
          <w:szCs w:val="28"/>
          <w:lang w:val="uk-UA"/>
        </w:rPr>
        <w:t>.</w:t>
      </w:r>
      <w:r w:rsidR="00CD677D" w:rsidRPr="0019222A">
        <w:rPr>
          <w:sz w:val="28"/>
          <w:szCs w:val="28"/>
          <w:lang w:val="uk-UA"/>
        </w:rPr>
        <w:t>;</w:t>
      </w:r>
    </w:p>
    <w:p w:rsidR="00CD677D" w:rsidRPr="00CD677D" w:rsidRDefault="00E300FA" w:rsidP="0019222A">
      <w:pPr>
        <w:numPr>
          <w:ilvl w:val="0"/>
          <w:numId w:val="2"/>
        </w:numPr>
        <w:suppressAutoHyphens/>
        <w:ind w:left="0" w:firstLine="705"/>
        <w:jc w:val="both"/>
        <w:rPr>
          <w:sz w:val="28"/>
          <w:szCs w:val="28"/>
          <w:lang w:val="uk-UA"/>
        </w:rPr>
      </w:pPr>
      <w:r>
        <w:rPr>
          <w:sz w:val="28"/>
          <w:szCs w:val="28"/>
          <w:lang w:val="uk-UA"/>
        </w:rPr>
        <w:t xml:space="preserve"> кількість мобільних виїздів мобільної бригади  – </w:t>
      </w:r>
      <w:r w:rsidR="00CD677D" w:rsidRPr="00CD677D">
        <w:rPr>
          <w:sz w:val="28"/>
          <w:szCs w:val="28"/>
          <w:lang w:val="uk-UA"/>
        </w:rPr>
        <w:t>69; середні витрати на 1 мобільни</w:t>
      </w:r>
      <w:r w:rsidR="0019222A">
        <w:rPr>
          <w:sz w:val="28"/>
          <w:szCs w:val="28"/>
          <w:lang w:val="uk-UA"/>
        </w:rPr>
        <w:t>й виїзд мобільної групи – 93,70</w:t>
      </w:r>
      <w:r w:rsidR="00CD677D" w:rsidRPr="00CD677D">
        <w:rPr>
          <w:sz w:val="28"/>
          <w:szCs w:val="28"/>
          <w:lang w:val="uk-UA"/>
        </w:rPr>
        <w:t xml:space="preserve"> грн.</w:t>
      </w:r>
    </w:p>
    <w:p w:rsidR="00CD677D" w:rsidRPr="00CD677D" w:rsidRDefault="00CD677D" w:rsidP="0019222A">
      <w:pPr>
        <w:tabs>
          <w:tab w:val="left" w:pos="709"/>
        </w:tabs>
        <w:jc w:val="both"/>
        <w:rPr>
          <w:sz w:val="28"/>
          <w:szCs w:val="28"/>
          <w:lang w:val="uk-UA"/>
        </w:rPr>
      </w:pPr>
      <w:r w:rsidRPr="00CD677D">
        <w:rPr>
          <w:sz w:val="28"/>
          <w:szCs w:val="28"/>
          <w:lang w:val="uk-UA"/>
        </w:rPr>
        <w:tab/>
      </w:r>
      <w:r w:rsidRPr="00CD677D">
        <w:rPr>
          <w:b/>
          <w:sz w:val="28"/>
          <w:szCs w:val="28"/>
          <w:lang w:val="uk-UA"/>
        </w:rPr>
        <w:t>Видатки на житлово-комунальне господарство</w:t>
      </w:r>
      <w:r w:rsidRPr="00CD677D">
        <w:rPr>
          <w:sz w:val="28"/>
          <w:szCs w:val="28"/>
          <w:lang w:val="uk-UA"/>
        </w:rPr>
        <w:t xml:space="preserve"> загального фонду</w:t>
      </w:r>
      <w:r w:rsidRPr="00CD677D">
        <w:rPr>
          <w:b/>
          <w:sz w:val="28"/>
          <w:szCs w:val="28"/>
          <w:lang w:val="uk-UA"/>
        </w:rPr>
        <w:t xml:space="preserve"> </w:t>
      </w:r>
      <w:r w:rsidR="00E300FA">
        <w:rPr>
          <w:sz w:val="28"/>
          <w:szCs w:val="28"/>
          <w:lang w:val="uk-UA"/>
        </w:rPr>
        <w:t xml:space="preserve">виконано на 6856,9 тис. </w:t>
      </w:r>
      <w:proofErr w:type="spellStart"/>
      <w:r w:rsidR="00E300FA">
        <w:rPr>
          <w:sz w:val="28"/>
          <w:szCs w:val="28"/>
          <w:lang w:val="uk-UA"/>
        </w:rPr>
        <w:t>грн</w:t>
      </w:r>
      <w:proofErr w:type="spellEnd"/>
      <w:r w:rsidR="00E300FA">
        <w:rPr>
          <w:sz w:val="28"/>
          <w:szCs w:val="28"/>
          <w:lang w:val="uk-UA"/>
        </w:rPr>
        <w:t xml:space="preserve">, або 96,0% </w:t>
      </w:r>
      <w:r w:rsidRPr="00CD677D">
        <w:rPr>
          <w:sz w:val="28"/>
          <w:szCs w:val="28"/>
          <w:lang w:val="uk-UA"/>
        </w:rPr>
        <w:t xml:space="preserve">до плану в тому числі: </w:t>
      </w:r>
    </w:p>
    <w:p w:rsidR="00CD677D" w:rsidRPr="00CD677D" w:rsidRDefault="00CD677D" w:rsidP="0019222A">
      <w:pPr>
        <w:ind w:firstLine="708"/>
        <w:jc w:val="both"/>
        <w:rPr>
          <w:sz w:val="28"/>
          <w:szCs w:val="28"/>
          <w:lang w:val="uk-UA"/>
        </w:rPr>
      </w:pPr>
      <w:r w:rsidRPr="00CD677D">
        <w:rPr>
          <w:sz w:val="28"/>
          <w:szCs w:val="28"/>
          <w:lang w:val="uk-UA"/>
        </w:rPr>
        <w:t>- на організ</w:t>
      </w:r>
      <w:r w:rsidR="0019222A">
        <w:rPr>
          <w:sz w:val="28"/>
          <w:szCs w:val="28"/>
          <w:lang w:val="uk-UA"/>
        </w:rPr>
        <w:t xml:space="preserve">ацію </w:t>
      </w:r>
      <w:proofErr w:type="spellStart"/>
      <w:r w:rsidR="0019222A">
        <w:rPr>
          <w:sz w:val="28"/>
          <w:szCs w:val="28"/>
          <w:lang w:val="uk-UA"/>
        </w:rPr>
        <w:t>суспільнокорис</w:t>
      </w:r>
      <w:r w:rsidRPr="00CD677D">
        <w:rPr>
          <w:sz w:val="28"/>
          <w:szCs w:val="28"/>
          <w:lang w:val="uk-UA"/>
        </w:rPr>
        <w:t>них</w:t>
      </w:r>
      <w:proofErr w:type="spellEnd"/>
      <w:r w:rsidRPr="00CD677D">
        <w:rPr>
          <w:sz w:val="28"/>
          <w:szCs w:val="28"/>
          <w:lang w:val="uk-UA"/>
        </w:rPr>
        <w:t xml:space="preserve"> робіт -39,5 тис.</w:t>
      </w:r>
      <w:r w:rsidR="0019222A">
        <w:rPr>
          <w:sz w:val="28"/>
          <w:szCs w:val="28"/>
          <w:lang w:val="uk-UA"/>
        </w:rPr>
        <w:t xml:space="preserve"> </w:t>
      </w:r>
      <w:r w:rsidRPr="00CD677D">
        <w:rPr>
          <w:sz w:val="28"/>
          <w:szCs w:val="28"/>
          <w:lang w:val="uk-UA"/>
        </w:rPr>
        <w:t>грн.</w:t>
      </w:r>
    </w:p>
    <w:p w:rsidR="00CD677D" w:rsidRPr="00CD677D" w:rsidRDefault="00CD677D" w:rsidP="0019222A">
      <w:pPr>
        <w:ind w:firstLine="708"/>
        <w:jc w:val="both"/>
        <w:rPr>
          <w:sz w:val="28"/>
          <w:szCs w:val="28"/>
          <w:lang w:val="uk-UA"/>
        </w:rPr>
      </w:pPr>
      <w:proofErr w:type="spellStart"/>
      <w:r w:rsidRPr="00CD677D">
        <w:rPr>
          <w:sz w:val="28"/>
          <w:szCs w:val="28"/>
          <w:lang w:val="uk-UA"/>
        </w:rPr>
        <w:t>-підтримка</w:t>
      </w:r>
      <w:proofErr w:type="spellEnd"/>
      <w:r w:rsidRPr="00CD677D">
        <w:rPr>
          <w:sz w:val="28"/>
          <w:szCs w:val="28"/>
          <w:lang w:val="uk-UA"/>
        </w:rPr>
        <w:t xml:space="preserve"> ОСББ – 110,0 тис.</w:t>
      </w:r>
      <w:r w:rsidR="0019222A">
        <w:rPr>
          <w:sz w:val="28"/>
          <w:szCs w:val="28"/>
          <w:lang w:val="uk-UA"/>
        </w:rPr>
        <w:t xml:space="preserve"> </w:t>
      </w:r>
      <w:r w:rsidRPr="00CD677D">
        <w:rPr>
          <w:sz w:val="28"/>
          <w:szCs w:val="28"/>
          <w:lang w:val="uk-UA"/>
        </w:rPr>
        <w:t>грн.</w:t>
      </w:r>
    </w:p>
    <w:p w:rsidR="00CD677D" w:rsidRPr="00CD677D" w:rsidRDefault="00CD677D" w:rsidP="0019222A">
      <w:pPr>
        <w:ind w:firstLine="708"/>
        <w:jc w:val="both"/>
        <w:rPr>
          <w:sz w:val="28"/>
          <w:szCs w:val="28"/>
          <w:lang w:val="uk-UA"/>
        </w:rPr>
      </w:pPr>
      <w:proofErr w:type="spellStart"/>
      <w:r w:rsidRPr="00CD677D">
        <w:rPr>
          <w:sz w:val="28"/>
          <w:szCs w:val="28"/>
          <w:lang w:val="uk-UA"/>
        </w:rPr>
        <w:t>-фінансова</w:t>
      </w:r>
      <w:proofErr w:type="spellEnd"/>
      <w:r w:rsidRPr="00CD677D">
        <w:rPr>
          <w:sz w:val="28"/>
          <w:szCs w:val="28"/>
          <w:lang w:val="uk-UA"/>
        </w:rPr>
        <w:t xml:space="preserve"> підтримка КП «Ананьїв-водоканал»-1490,5 тис. грн.</w:t>
      </w:r>
    </w:p>
    <w:p w:rsidR="00CD677D" w:rsidRPr="00CD677D" w:rsidRDefault="00CD677D" w:rsidP="0019222A">
      <w:pPr>
        <w:ind w:firstLine="708"/>
        <w:jc w:val="both"/>
        <w:rPr>
          <w:sz w:val="28"/>
          <w:szCs w:val="28"/>
          <w:lang w:val="uk-UA"/>
        </w:rPr>
      </w:pPr>
      <w:proofErr w:type="spellStart"/>
      <w:r w:rsidRPr="00CD677D">
        <w:rPr>
          <w:sz w:val="28"/>
          <w:szCs w:val="28"/>
          <w:lang w:val="uk-UA"/>
        </w:rPr>
        <w:t>-фінансов</w:t>
      </w:r>
      <w:r w:rsidR="0019222A">
        <w:rPr>
          <w:sz w:val="28"/>
          <w:szCs w:val="28"/>
          <w:lang w:val="uk-UA"/>
        </w:rPr>
        <w:t>а</w:t>
      </w:r>
      <w:proofErr w:type="spellEnd"/>
      <w:r w:rsidR="0019222A">
        <w:rPr>
          <w:sz w:val="28"/>
          <w:szCs w:val="28"/>
          <w:lang w:val="uk-UA"/>
        </w:rPr>
        <w:t xml:space="preserve"> підтримка КП «Місто-сервіс» (</w:t>
      </w:r>
      <w:r w:rsidRPr="00CD677D">
        <w:rPr>
          <w:sz w:val="28"/>
          <w:szCs w:val="28"/>
          <w:lang w:val="uk-UA"/>
        </w:rPr>
        <w:t>включаючи оплату вуличного освітлення) -</w:t>
      </w:r>
      <w:r w:rsidR="0019222A">
        <w:rPr>
          <w:sz w:val="28"/>
          <w:szCs w:val="28"/>
          <w:lang w:val="uk-UA"/>
        </w:rPr>
        <w:t xml:space="preserve"> </w:t>
      </w:r>
      <w:r w:rsidRPr="00CD677D">
        <w:rPr>
          <w:sz w:val="28"/>
          <w:szCs w:val="28"/>
          <w:lang w:val="uk-UA"/>
        </w:rPr>
        <w:t>4061,4 тис. грн.</w:t>
      </w:r>
    </w:p>
    <w:p w:rsidR="00CD677D" w:rsidRPr="00CD677D" w:rsidRDefault="00CD677D" w:rsidP="0019222A">
      <w:pPr>
        <w:ind w:firstLine="708"/>
        <w:jc w:val="both"/>
        <w:rPr>
          <w:sz w:val="28"/>
          <w:szCs w:val="28"/>
          <w:lang w:val="uk-UA"/>
        </w:rPr>
      </w:pPr>
      <w:proofErr w:type="spellStart"/>
      <w:r w:rsidRPr="00CD677D">
        <w:rPr>
          <w:sz w:val="28"/>
          <w:szCs w:val="28"/>
          <w:lang w:val="uk-UA"/>
        </w:rPr>
        <w:t>-благоустрій</w:t>
      </w:r>
      <w:proofErr w:type="spellEnd"/>
      <w:r w:rsidRPr="00CD677D">
        <w:rPr>
          <w:sz w:val="28"/>
          <w:szCs w:val="28"/>
          <w:lang w:val="uk-UA"/>
        </w:rPr>
        <w:t xml:space="preserve"> населе</w:t>
      </w:r>
      <w:r w:rsidR="0019222A">
        <w:rPr>
          <w:sz w:val="28"/>
          <w:szCs w:val="28"/>
          <w:lang w:val="uk-UA"/>
        </w:rPr>
        <w:t>них пунктів (</w:t>
      </w:r>
      <w:r w:rsidRPr="00CD677D">
        <w:rPr>
          <w:sz w:val="28"/>
          <w:szCs w:val="28"/>
          <w:lang w:val="uk-UA"/>
        </w:rPr>
        <w:t>включаючи р</w:t>
      </w:r>
      <w:r w:rsidR="0019222A">
        <w:rPr>
          <w:sz w:val="28"/>
          <w:szCs w:val="28"/>
          <w:lang w:val="uk-UA"/>
        </w:rPr>
        <w:t>о</w:t>
      </w:r>
      <w:r w:rsidRPr="00CD677D">
        <w:rPr>
          <w:sz w:val="28"/>
          <w:szCs w:val="28"/>
          <w:lang w:val="uk-UA"/>
        </w:rPr>
        <w:t>зчистку снігу, ремонт об</w:t>
      </w:r>
      <w:r w:rsidR="0019222A">
        <w:rPr>
          <w:sz w:val="28"/>
          <w:szCs w:val="28"/>
          <w:lang w:val="uk-UA"/>
        </w:rPr>
        <w:t>’</w:t>
      </w:r>
      <w:r w:rsidRPr="00CD677D">
        <w:rPr>
          <w:sz w:val="28"/>
          <w:szCs w:val="28"/>
          <w:lang w:val="uk-UA"/>
        </w:rPr>
        <w:t>єктів благоустрою, зачистка сміт</w:t>
      </w:r>
      <w:r w:rsidR="0019222A">
        <w:rPr>
          <w:sz w:val="28"/>
          <w:szCs w:val="28"/>
          <w:lang w:val="uk-UA"/>
        </w:rPr>
        <w:t>т</w:t>
      </w:r>
      <w:r w:rsidRPr="00CD677D">
        <w:rPr>
          <w:sz w:val="28"/>
          <w:szCs w:val="28"/>
          <w:lang w:val="uk-UA"/>
        </w:rPr>
        <w:t>єзвалища)</w:t>
      </w:r>
      <w:r w:rsidR="0019222A">
        <w:rPr>
          <w:sz w:val="28"/>
          <w:szCs w:val="28"/>
          <w:lang w:val="uk-UA"/>
        </w:rPr>
        <w:t xml:space="preserve"> </w:t>
      </w:r>
      <w:r w:rsidRPr="00CD677D">
        <w:rPr>
          <w:sz w:val="28"/>
          <w:szCs w:val="28"/>
          <w:lang w:val="uk-UA"/>
        </w:rPr>
        <w:t>- 855,4 тис. грн.</w:t>
      </w:r>
    </w:p>
    <w:p w:rsidR="00CD677D" w:rsidRPr="00CD677D" w:rsidRDefault="00CD677D" w:rsidP="0019222A">
      <w:pPr>
        <w:ind w:firstLine="708"/>
        <w:jc w:val="both"/>
        <w:rPr>
          <w:sz w:val="28"/>
          <w:szCs w:val="28"/>
          <w:lang w:val="uk-UA"/>
        </w:rPr>
      </w:pPr>
      <w:proofErr w:type="spellStart"/>
      <w:r w:rsidRPr="00CD677D">
        <w:rPr>
          <w:sz w:val="28"/>
          <w:szCs w:val="28"/>
          <w:lang w:val="uk-UA"/>
        </w:rPr>
        <w:t>-придбання</w:t>
      </w:r>
      <w:proofErr w:type="spellEnd"/>
      <w:r w:rsidRPr="00CD677D">
        <w:rPr>
          <w:sz w:val="28"/>
          <w:szCs w:val="28"/>
          <w:lang w:val="uk-UA"/>
        </w:rPr>
        <w:t xml:space="preserve"> м</w:t>
      </w:r>
      <w:r w:rsidR="00CB1522">
        <w:rPr>
          <w:sz w:val="28"/>
          <w:szCs w:val="28"/>
          <w:lang w:val="uk-UA"/>
        </w:rPr>
        <w:t>алоцінних необоротних активів (</w:t>
      </w:r>
      <w:r w:rsidRPr="00CD677D">
        <w:rPr>
          <w:sz w:val="28"/>
          <w:szCs w:val="28"/>
          <w:lang w:val="uk-UA"/>
        </w:rPr>
        <w:t xml:space="preserve">світлові конструкції </w:t>
      </w:r>
      <w:r w:rsidR="00CB1522">
        <w:rPr>
          <w:sz w:val="28"/>
          <w:szCs w:val="28"/>
          <w:lang w:val="uk-UA"/>
        </w:rPr>
        <w:t xml:space="preserve">      </w:t>
      </w:r>
      <w:r w:rsidRPr="00CD677D">
        <w:rPr>
          <w:sz w:val="28"/>
          <w:szCs w:val="28"/>
          <w:lang w:val="uk-UA"/>
        </w:rPr>
        <w:t>та ін.) – 300,1 тис. грн.</w:t>
      </w:r>
    </w:p>
    <w:p w:rsidR="00CD677D" w:rsidRPr="00CD677D" w:rsidRDefault="00CD677D" w:rsidP="00CD677D">
      <w:pPr>
        <w:ind w:left="-180" w:firstLine="888"/>
        <w:jc w:val="both"/>
        <w:rPr>
          <w:sz w:val="28"/>
          <w:szCs w:val="28"/>
          <w:lang w:val="uk-UA"/>
        </w:rPr>
      </w:pPr>
      <w:r w:rsidRPr="00CD677D">
        <w:rPr>
          <w:sz w:val="28"/>
          <w:szCs w:val="28"/>
          <w:lang w:val="uk-UA"/>
        </w:rPr>
        <w:t xml:space="preserve"> Видатки спеціального фонду на житлово-комунальне господарство проведені у сумі 4637,2 тис. грн., в тому числі:</w:t>
      </w:r>
    </w:p>
    <w:p w:rsidR="00CD677D" w:rsidRPr="00CD677D" w:rsidRDefault="00CD677D" w:rsidP="00CD677D">
      <w:pPr>
        <w:ind w:left="-180" w:firstLine="888"/>
        <w:jc w:val="both"/>
        <w:rPr>
          <w:sz w:val="28"/>
          <w:szCs w:val="28"/>
          <w:lang w:val="uk-UA"/>
        </w:rPr>
      </w:pPr>
      <w:proofErr w:type="spellStart"/>
      <w:r w:rsidRPr="00CD677D">
        <w:rPr>
          <w:sz w:val="28"/>
          <w:szCs w:val="28"/>
          <w:lang w:val="uk-UA"/>
        </w:rPr>
        <w:t>-придбання</w:t>
      </w:r>
      <w:proofErr w:type="spellEnd"/>
      <w:r w:rsidRPr="00CD677D">
        <w:rPr>
          <w:sz w:val="28"/>
          <w:szCs w:val="28"/>
          <w:lang w:val="uk-UA"/>
        </w:rPr>
        <w:t xml:space="preserve"> житла дітям-сиротам</w:t>
      </w:r>
      <w:r w:rsidR="00CB1522">
        <w:rPr>
          <w:sz w:val="28"/>
          <w:szCs w:val="28"/>
          <w:lang w:val="uk-UA"/>
        </w:rPr>
        <w:t xml:space="preserve"> </w:t>
      </w:r>
      <w:r w:rsidRPr="00CD677D">
        <w:rPr>
          <w:sz w:val="28"/>
          <w:szCs w:val="28"/>
          <w:lang w:val="uk-UA"/>
        </w:rPr>
        <w:t>- 1000,6 тис. грн.</w:t>
      </w:r>
    </w:p>
    <w:p w:rsidR="00CD677D" w:rsidRPr="00CD677D" w:rsidRDefault="00CD677D" w:rsidP="00CD677D">
      <w:pPr>
        <w:ind w:left="-180" w:firstLine="888"/>
        <w:jc w:val="both"/>
        <w:rPr>
          <w:sz w:val="28"/>
          <w:szCs w:val="28"/>
          <w:lang w:val="uk-UA"/>
        </w:rPr>
      </w:pPr>
      <w:proofErr w:type="spellStart"/>
      <w:r w:rsidRPr="00CD677D">
        <w:rPr>
          <w:sz w:val="28"/>
          <w:szCs w:val="28"/>
          <w:lang w:val="uk-UA"/>
        </w:rPr>
        <w:t>-капітальний</w:t>
      </w:r>
      <w:proofErr w:type="spellEnd"/>
      <w:r w:rsidRPr="00CD677D">
        <w:rPr>
          <w:sz w:val="28"/>
          <w:szCs w:val="28"/>
          <w:lang w:val="uk-UA"/>
        </w:rPr>
        <w:t xml:space="preserve"> ремонт водогону ( в т.ч. с. </w:t>
      </w:r>
      <w:proofErr w:type="spellStart"/>
      <w:r w:rsidRPr="00CD677D">
        <w:rPr>
          <w:sz w:val="28"/>
          <w:szCs w:val="28"/>
          <w:lang w:val="uk-UA"/>
        </w:rPr>
        <w:t>Жеребкове</w:t>
      </w:r>
      <w:proofErr w:type="spellEnd"/>
      <w:r w:rsidRPr="00CD677D">
        <w:rPr>
          <w:sz w:val="28"/>
          <w:szCs w:val="28"/>
          <w:lang w:val="uk-UA"/>
        </w:rPr>
        <w:t>) – 2262,0 тис. грн.</w:t>
      </w:r>
    </w:p>
    <w:p w:rsidR="00CD677D" w:rsidRPr="00CD677D" w:rsidRDefault="00CD677D" w:rsidP="00CD677D">
      <w:pPr>
        <w:ind w:left="-180" w:firstLine="888"/>
        <w:jc w:val="both"/>
        <w:rPr>
          <w:sz w:val="28"/>
          <w:szCs w:val="28"/>
          <w:lang w:val="uk-UA"/>
        </w:rPr>
      </w:pPr>
      <w:proofErr w:type="spellStart"/>
      <w:r w:rsidRPr="00CD677D">
        <w:rPr>
          <w:sz w:val="28"/>
          <w:szCs w:val="28"/>
          <w:lang w:val="uk-UA"/>
        </w:rPr>
        <w:t>-капітальний</w:t>
      </w:r>
      <w:proofErr w:type="spellEnd"/>
      <w:r w:rsidRPr="00CD677D">
        <w:rPr>
          <w:sz w:val="28"/>
          <w:szCs w:val="28"/>
          <w:lang w:val="uk-UA"/>
        </w:rPr>
        <w:t xml:space="preserve"> ремонт інших об</w:t>
      </w:r>
      <w:r w:rsidR="00CB1522">
        <w:rPr>
          <w:sz w:val="28"/>
          <w:szCs w:val="28"/>
          <w:lang w:val="uk-UA"/>
        </w:rPr>
        <w:t>’</w:t>
      </w:r>
      <w:r w:rsidRPr="00CD677D">
        <w:rPr>
          <w:sz w:val="28"/>
          <w:szCs w:val="28"/>
          <w:lang w:val="uk-UA"/>
        </w:rPr>
        <w:t>єктів благоустрою (ремонт вуличного освітлення, ремонт кладовища) – 1291,9 тис. грн.</w:t>
      </w:r>
    </w:p>
    <w:p w:rsidR="00CD677D" w:rsidRPr="00CD677D" w:rsidRDefault="00CB1522" w:rsidP="00CD677D">
      <w:pPr>
        <w:ind w:left="-180" w:firstLine="888"/>
        <w:jc w:val="both"/>
        <w:rPr>
          <w:sz w:val="28"/>
          <w:szCs w:val="28"/>
          <w:lang w:val="uk-UA"/>
        </w:rPr>
      </w:pPr>
      <w:proofErr w:type="spellStart"/>
      <w:r>
        <w:rPr>
          <w:sz w:val="28"/>
          <w:szCs w:val="28"/>
          <w:lang w:val="uk-UA"/>
        </w:rPr>
        <w:t>-придбання</w:t>
      </w:r>
      <w:proofErr w:type="spellEnd"/>
      <w:r>
        <w:rPr>
          <w:sz w:val="28"/>
          <w:szCs w:val="28"/>
          <w:lang w:val="uk-UA"/>
        </w:rPr>
        <w:t xml:space="preserve"> основних засобів (</w:t>
      </w:r>
      <w:r w:rsidR="00CD677D" w:rsidRPr="00CD677D">
        <w:rPr>
          <w:sz w:val="28"/>
          <w:szCs w:val="28"/>
          <w:lang w:val="uk-UA"/>
        </w:rPr>
        <w:t>світлові конструкції) – 82,6 тис. грн.</w:t>
      </w:r>
    </w:p>
    <w:p w:rsidR="00CD677D" w:rsidRPr="00CD677D" w:rsidRDefault="00CD677D" w:rsidP="00CD677D">
      <w:pPr>
        <w:ind w:firstLine="705"/>
        <w:jc w:val="both"/>
        <w:rPr>
          <w:sz w:val="28"/>
          <w:szCs w:val="28"/>
          <w:lang w:val="uk-UA"/>
        </w:rPr>
      </w:pPr>
      <w:r w:rsidRPr="00CD677D">
        <w:rPr>
          <w:b/>
          <w:sz w:val="28"/>
          <w:szCs w:val="28"/>
          <w:lang w:val="uk-UA"/>
        </w:rPr>
        <w:t>Протягом 2021 року видатки на утримання доріг</w:t>
      </w:r>
      <w:r w:rsidRPr="00CD677D">
        <w:rPr>
          <w:sz w:val="28"/>
          <w:szCs w:val="28"/>
          <w:lang w:val="uk-UA"/>
        </w:rPr>
        <w:t xml:space="preserve"> </w:t>
      </w:r>
      <w:r w:rsidR="00E300FA">
        <w:rPr>
          <w:sz w:val="28"/>
          <w:szCs w:val="28"/>
          <w:lang w:val="uk-UA"/>
        </w:rPr>
        <w:t xml:space="preserve">громади проведені у </w:t>
      </w:r>
      <w:r w:rsidRPr="00CD677D">
        <w:rPr>
          <w:sz w:val="28"/>
          <w:szCs w:val="28"/>
          <w:lang w:val="uk-UA"/>
        </w:rPr>
        <w:t>сумі 2277,5 тис.</w:t>
      </w:r>
      <w:r w:rsidR="00CB1522">
        <w:rPr>
          <w:sz w:val="28"/>
          <w:szCs w:val="28"/>
          <w:lang w:val="uk-UA"/>
        </w:rPr>
        <w:t xml:space="preserve"> грн. (загальний та спец фонд разом)</w:t>
      </w:r>
      <w:r w:rsidRPr="00CD677D">
        <w:rPr>
          <w:sz w:val="28"/>
          <w:szCs w:val="28"/>
          <w:lang w:val="uk-UA"/>
        </w:rPr>
        <w:t xml:space="preserve">, за рахунок яких проведений поточний ямковий ремонт в м. Ананьїв, с. </w:t>
      </w:r>
      <w:proofErr w:type="spellStart"/>
      <w:r w:rsidRPr="00CD677D">
        <w:rPr>
          <w:sz w:val="28"/>
          <w:szCs w:val="28"/>
          <w:lang w:val="uk-UA"/>
        </w:rPr>
        <w:t>Гандрабури</w:t>
      </w:r>
      <w:proofErr w:type="spellEnd"/>
      <w:r w:rsidRPr="00CD677D">
        <w:rPr>
          <w:sz w:val="28"/>
          <w:szCs w:val="28"/>
          <w:lang w:val="uk-UA"/>
        </w:rPr>
        <w:t>,</w:t>
      </w:r>
      <w:r w:rsidR="00CB1522">
        <w:rPr>
          <w:sz w:val="28"/>
          <w:szCs w:val="28"/>
          <w:lang w:val="uk-UA"/>
        </w:rPr>
        <w:t xml:space="preserve"> </w:t>
      </w:r>
      <w:proofErr w:type="spellStart"/>
      <w:r w:rsidRPr="00CD677D">
        <w:rPr>
          <w:sz w:val="28"/>
          <w:szCs w:val="28"/>
          <w:lang w:val="uk-UA"/>
        </w:rPr>
        <w:t>с.Кохівка</w:t>
      </w:r>
      <w:proofErr w:type="spellEnd"/>
      <w:r w:rsidRPr="00CD677D">
        <w:rPr>
          <w:sz w:val="28"/>
          <w:szCs w:val="28"/>
          <w:lang w:val="uk-UA"/>
        </w:rPr>
        <w:t xml:space="preserve">, с. </w:t>
      </w:r>
      <w:proofErr w:type="spellStart"/>
      <w:r w:rsidRPr="00CD677D">
        <w:rPr>
          <w:sz w:val="28"/>
          <w:szCs w:val="28"/>
          <w:lang w:val="uk-UA"/>
        </w:rPr>
        <w:t>Романівка</w:t>
      </w:r>
      <w:proofErr w:type="spellEnd"/>
      <w:r w:rsidR="00CB1522">
        <w:rPr>
          <w:sz w:val="28"/>
          <w:szCs w:val="28"/>
          <w:lang w:val="uk-UA"/>
        </w:rPr>
        <w:t xml:space="preserve"> ,с </w:t>
      </w:r>
      <w:proofErr w:type="spellStart"/>
      <w:r w:rsidR="00CB1522">
        <w:rPr>
          <w:sz w:val="28"/>
          <w:szCs w:val="28"/>
          <w:lang w:val="uk-UA"/>
        </w:rPr>
        <w:t>Новос</w:t>
      </w:r>
      <w:r w:rsidRPr="00CD677D">
        <w:rPr>
          <w:sz w:val="28"/>
          <w:szCs w:val="28"/>
          <w:lang w:val="uk-UA"/>
        </w:rPr>
        <w:t>елівка</w:t>
      </w:r>
      <w:proofErr w:type="spellEnd"/>
      <w:r w:rsidRPr="00CD677D">
        <w:rPr>
          <w:sz w:val="28"/>
          <w:szCs w:val="28"/>
          <w:lang w:val="uk-UA"/>
        </w:rPr>
        <w:t>,</w:t>
      </w:r>
      <w:r w:rsidR="00CB1522">
        <w:rPr>
          <w:sz w:val="28"/>
          <w:szCs w:val="28"/>
          <w:lang w:val="uk-UA"/>
        </w:rPr>
        <w:t xml:space="preserve"> </w:t>
      </w:r>
      <w:r w:rsidRPr="00CD677D">
        <w:rPr>
          <w:sz w:val="28"/>
          <w:szCs w:val="28"/>
          <w:lang w:val="uk-UA"/>
        </w:rPr>
        <w:t xml:space="preserve">с. </w:t>
      </w:r>
      <w:proofErr w:type="spellStart"/>
      <w:r w:rsidRPr="00CD677D">
        <w:rPr>
          <w:sz w:val="28"/>
          <w:szCs w:val="28"/>
          <w:lang w:val="uk-UA"/>
        </w:rPr>
        <w:t>Байтали</w:t>
      </w:r>
      <w:proofErr w:type="spellEnd"/>
      <w:r w:rsidRPr="00CD677D">
        <w:rPr>
          <w:sz w:val="28"/>
          <w:szCs w:val="28"/>
          <w:lang w:val="uk-UA"/>
        </w:rPr>
        <w:t>.</w:t>
      </w:r>
    </w:p>
    <w:p w:rsidR="00CD677D" w:rsidRPr="00CD677D" w:rsidRDefault="00CD677D" w:rsidP="00CB1522">
      <w:pPr>
        <w:ind w:firstLine="708"/>
        <w:jc w:val="both"/>
        <w:rPr>
          <w:sz w:val="28"/>
          <w:szCs w:val="28"/>
          <w:lang w:val="uk-UA"/>
        </w:rPr>
      </w:pPr>
      <w:r w:rsidRPr="00CD677D">
        <w:rPr>
          <w:b/>
          <w:sz w:val="28"/>
          <w:szCs w:val="28"/>
          <w:lang w:val="uk-UA"/>
        </w:rPr>
        <w:t>Видатки на утримання установ культури</w:t>
      </w:r>
      <w:r w:rsidRPr="00CD677D">
        <w:rPr>
          <w:sz w:val="28"/>
          <w:szCs w:val="28"/>
          <w:lang w:val="uk-UA"/>
        </w:rPr>
        <w:t xml:space="preserve"> загального фонду складають </w:t>
      </w:r>
      <w:r w:rsidR="00CB1522">
        <w:rPr>
          <w:sz w:val="28"/>
          <w:szCs w:val="28"/>
          <w:lang w:val="uk-UA"/>
        </w:rPr>
        <w:t>11281,9 тис. грн., в тому числі</w:t>
      </w:r>
      <w:r w:rsidRPr="00CD677D">
        <w:rPr>
          <w:sz w:val="28"/>
          <w:szCs w:val="28"/>
          <w:lang w:val="uk-UA"/>
        </w:rPr>
        <w:t xml:space="preserve">: музична школа – 2669,3 тис. </w:t>
      </w:r>
      <w:r w:rsidR="00E300FA">
        <w:rPr>
          <w:sz w:val="28"/>
          <w:szCs w:val="28"/>
          <w:lang w:val="uk-UA"/>
        </w:rPr>
        <w:t>грн</w:t>
      </w:r>
      <w:r w:rsidR="00CB1522">
        <w:rPr>
          <w:sz w:val="28"/>
          <w:szCs w:val="28"/>
          <w:lang w:val="uk-UA"/>
        </w:rPr>
        <w:t>.</w:t>
      </w:r>
      <w:r w:rsidRPr="00CD677D">
        <w:rPr>
          <w:sz w:val="28"/>
          <w:szCs w:val="28"/>
          <w:lang w:val="uk-UA"/>
        </w:rPr>
        <w:t>, бібліотеки</w:t>
      </w:r>
      <w:r w:rsidR="00CB1522">
        <w:rPr>
          <w:sz w:val="28"/>
          <w:szCs w:val="28"/>
          <w:lang w:val="uk-UA"/>
        </w:rPr>
        <w:t xml:space="preserve"> </w:t>
      </w:r>
      <w:r w:rsidRPr="00CD677D">
        <w:rPr>
          <w:sz w:val="28"/>
          <w:szCs w:val="28"/>
          <w:lang w:val="uk-UA"/>
        </w:rPr>
        <w:t>- 3819,6 тис. грн.,будинки культури</w:t>
      </w:r>
      <w:r w:rsidR="00CB1522">
        <w:rPr>
          <w:sz w:val="28"/>
          <w:szCs w:val="28"/>
          <w:lang w:val="uk-UA"/>
        </w:rPr>
        <w:t xml:space="preserve"> </w:t>
      </w:r>
      <w:r w:rsidRPr="00CD677D">
        <w:rPr>
          <w:sz w:val="28"/>
          <w:szCs w:val="28"/>
          <w:lang w:val="uk-UA"/>
        </w:rPr>
        <w:t>- 3865,1 тис. грн., інші культурні заходи – 227,5 тис. грн.</w:t>
      </w:r>
    </w:p>
    <w:p w:rsidR="00CD677D" w:rsidRPr="00CD677D" w:rsidRDefault="00CB1522" w:rsidP="00CB1522">
      <w:pPr>
        <w:tabs>
          <w:tab w:val="left" w:pos="709"/>
        </w:tabs>
        <w:jc w:val="both"/>
        <w:rPr>
          <w:sz w:val="28"/>
          <w:szCs w:val="28"/>
          <w:lang w:val="uk-UA"/>
        </w:rPr>
      </w:pPr>
      <w:r>
        <w:rPr>
          <w:sz w:val="28"/>
          <w:szCs w:val="28"/>
          <w:lang w:val="uk-UA"/>
        </w:rPr>
        <w:lastRenderedPageBreak/>
        <w:t xml:space="preserve">  </w:t>
      </w:r>
      <w:r>
        <w:rPr>
          <w:sz w:val="28"/>
          <w:szCs w:val="28"/>
          <w:lang w:val="uk-UA"/>
        </w:rPr>
        <w:tab/>
      </w:r>
      <w:r w:rsidR="00CD677D" w:rsidRPr="00CD677D">
        <w:rPr>
          <w:sz w:val="28"/>
          <w:szCs w:val="28"/>
          <w:lang w:val="uk-UA"/>
        </w:rPr>
        <w:t>Питома вага виконання видатків на заробітну плату з нарахуваннями складає 87,6</w:t>
      </w:r>
      <w:r w:rsidR="00CD677D" w:rsidRPr="00CD677D">
        <w:rPr>
          <w:sz w:val="26"/>
          <w:szCs w:val="26"/>
          <w:lang w:val="uk-UA"/>
        </w:rPr>
        <w:t>%,</w:t>
      </w:r>
      <w:r w:rsidR="00CD677D" w:rsidRPr="00CD677D">
        <w:rPr>
          <w:sz w:val="28"/>
          <w:szCs w:val="28"/>
          <w:lang w:val="uk-UA"/>
        </w:rPr>
        <w:t xml:space="preserve"> на оплату комунальних послуг та енергоносіїв 5</w:t>
      </w:r>
      <w:r w:rsidR="00CD677D" w:rsidRPr="00CD677D">
        <w:rPr>
          <w:sz w:val="26"/>
          <w:szCs w:val="26"/>
          <w:lang w:val="uk-UA"/>
        </w:rPr>
        <w:t>%,</w:t>
      </w:r>
      <w:r w:rsidR="00CD677D" w:rsidRPr="00CD677D">
        <w:rPr>
          <w:sz w:val="28"/>
          <w:szCs w:val="28"/>
          <w:lang w:val="uk-UA"/>
        </w:rPr>
        <w:t xml:space="preserve"> на інші видатки  7,3%.</w:t>
      </w:r>
    </w:p>
    <w:p w:rsidR="00CD677D" w:rsidRPr="00CD677D" w:rsidRDefault="00CD677D" w:rsidP="00CD677D">
      <w:pPr>
        <w:ind w:firstLine="708"/>
        <w:jc w:val="both"/>
        <w:rPr>
          <w:sz w:val="28"/>
          <w:szCs w:val="28"/>
        </w:rPr>
      </w:pPr>
      <w:proofErr w:type="spellStart"/>
      <w:r w:rsidRPr="00CD677D">
        <w:rPr>
          <w:sz w:val="28"/>
          <w:szCs w:val="28"/>
        </w:rPr>
        <w:t>Кількість</w:t>
      </w:r>
      <w:proofErr w:type="spellEnd"/>
      <w:r w:rsidRPr="00CD677D">
        <w:rPr>
          <w:sz w:val="28"/>
          <w:szCs w:val="28"/>
        </w:rPr>
        <w:t xml:space="preserve"> </w:t>
      </w:r>
      <w:proofErr w:type="spellStart"/>
      <w:r w:rsidRPr="00CD677D">
        <w:rPr>
          <w:sz w:val="28"/>
          <w:szCs w:val="28"/>
        </w:rPr>
        <w:t>закладів</w:t>
      </w:r>
      <w:proofErr w:type="spellEnd"/>
      <w:r w:rsidRPr="00CD677D">
        <w:rPr>
          <w:sz w:val="28"/>
          <w:szCs w:val="28"/>
        </w:rPr>
        <w:t xml:space="preserve"> </w:t>
      </w:r>
      <w:proofErr w:type="spellStart"/>
      <w:r w:rsidRPr="00CD677D">
        <w:rPr>
          <w:sz w:val="28"/>
          <w:szCs w:val="28"/>
        </w:rPr>
        <w:t>культури</w:t>
      </w:r>
      <w:proofErr w:type="spellEnd"/>
      <w:r w:rsidRPr="00CD677D">
        <w:rPr>
          <w:sz w:val="28"/>
          <w:szCs w:val="28"/>
        </w:rPr>
        <w:t xml:space="preserve"> станом на 3</w:t>
      </w:r>
      <w:r w:rsidRPr="00CD677D">
        <w:rPr>
          <w:sz w:val="28"/>
          <w:szCs w:val="28"/>
          <w:lang w:val="uk-UA"/>
        </w:rPr>
        <w:t>0</w:t>
      </w:r>
      <w:r w:rsidRPr="00CD677D">
        <w:rPr>
          <w:sz w:val="28"/>
          <w:szCs w:val="28"/>
        </w:rPr>
        <w:t>.0</w:t>
      </w:r>
      <w:r w:rsidRPr="00CD677D">
        <w:rPr>
          <w:sz w:val="28"/>
          <w:szCs w:val="28"/>
          <w:lang w:val="uk-UA"/>
        </w:rPr>
        <w:t>6</w:t>
      </w:r>
      <w:r w:rsidRPr="00CD677D">
        <w:rPr>
          <w:sz w:val="28"/>
          <w:szCs w:val="28"/>
        </w:rPr>
        <w:t xml:space="preserve">.2021 року </w:t>
      </w:r>
      <w:proofErr w:type="spellStart"/>
      <w:r w:rsidRPr="00CD677D">
        <w:rPr>
          <w:sz w:val="28"/>
          <w:szCs w:val="28"/>
        </w:rPr>
        <w:t>складає</w:t>
      </w:r>
      <w:proofErr w:type="spellEnd"/>
      <w:r w:rsidRPr="00CD677D">
        <w:rPr>
          <w:sz w:val="28"/>
          <w:szCs w:val="28"/>
        </w:rPr>
        <w:t xml:space="preserve"> </w:t>
      </w:r>
      <w:r w:rsidR="00CB1522">
        <w:rPr>
          <w:sz w:val="28"/>
          <w:szCs w:val="28"/>
          <w:lang w:val="uk-UA"/>
        </w:rPr>
        <w:t xml:space="preserve">           </w:t>
      </w:r>
      <w:r w:rsidRPr="00CD677D">
        <w:rPr>
          <w:sz w:val="28"/>
          <w:szCs w:val="28"/>
        </w:rPr>
        <w:t xml:space="preserve">17 </w:t>
      </w:r>
      <w:proofErr w:type="spellStart"/>
      <w:r w:rsidRPr="00CD677D">
        <w:rPr>
          <w:sz w:val="28"/>
          <w:szCs w:val="28"/>
        </w:rPr>
        <w:t>одиниць</w:t>
      </w:r>
      <w:proofErr w:type="spellEnd"/>
      <w:r w:rsidRPr="00CD677D">
        <w:rPr>
          <w:sz w:val="28"/>
          <w:szCs w:val="28"/>
        </w:rPr>
        <w:t>.</w:t>
      </w:r>
    </w:p>
    <w:p w:rsidR="00CD677D" w:rsidRPr="00CD677D" w:rsidRDefault="00CD677D" w:rsidP="00CD677D">
      <w:pPr>
        <w:ind w:firstLine="708"/>
        <w:jc w:val="both"/>
        <w:rPr>
          <w:sz w:val="28"/>
          <w:szCs w:val="28"/>
          <w:lang w:val="uk-UA"/>
        </w:rPr>
      </w:pPr>
      <w:r w:rsidRPr="00CD677D">
        <w:rPr>
          <w:sz w:val="28"/>
          <w:szCs w:val="28"/>
          <w:lang w:val="uk-UA"/>
        </w:rPr>
        <w:t xml:space="preserve">Загальна кількість ставок  по КПКВ 4030 «Забезпечення діяльності бібліотек» в порівнянні з початком року не змінювалася і становить </w:t>
      </w:r>
      <w:r w:rsidR="00CB1522">
        <w:rPr>
          <w:sz w:val="28"/>
          <w:szCs w:val="28"/>
          <w:lang w:val="uk-UA"/>
        </w:rPr>
        <w:t xml:space="preserve">         </w:t>
      </w:r>
      <w:r w:rsidRPr="00CD677D">
        <w:rPr>
          <w:sz w:val="28"/>
          <w:szCs w:val="28"/>
          <w:lang w:val="uk-UA"/>
        </w:rPr>
        <w:t>31,25 шт.</w:t>
      </w:r>
      <w:r w:rsidR="00CB1522">
        <w:rPr>
          <w:sz w:val="28"/>
          <w:szCs w:val="28"/>
          <w:lang w:val="uk-UA"/>
        </w:rPr>
        <w:t xml:space="preserve"> </w:t>
      </w:r>
      <w:r w:rsidRPr="00CD677D">
        <w:rPr>
          <w:sz w:val="28"/>
          <w:szCs w:val="28"/>
          <w:lang w:val="uk-UA"/>
        </w:rPr>
        <w:t>од., з них зайняті 29,75 шт.</w:t>
      </w:r>
      <w:r w:rsidR="00CB1522">
        <w:rPr>
          <w:sz w:val="28"/>
          <w:szCs w:val="28"/>
          <w:lang w:val="uk-UA"/>
        </w:rPr>
        <w:t xml:space="preserve"> </w:t>
      </w:r>
      <w:r w:rsidRPr="00CD677D">
        <w:rPr>
          <w:sz w:val="28"/>
          <w:szCs w:val="28"/>
          <w:lang w:val="uk-UA"/>
        </w:rPr>
        <w:t>од.. Загальна кількість читачів, що відвідали бібліотечні заклади за 9 місяців 2021 року склала – 9948 осіб.</w:t>
      </w:r>
    </w:p>
    <w:p w:rsidR="00CD677D" w:rsidRPr="00CD677D" w:rsidRDefault="00CD677D" w:rsidP="00CD677D">
      <w:pPr>
        <w:ind w:firstLine="708"/>
        <w:jc w:val="both"/>
        <w:rPr>
          <w:sz w:val="28"/>
          <w:szCs w:val="28"/>
          <w:lang w:val="uk-UA"/>
        </w:rPr>
      </w:pPr>
      <w:r w:rsidRPr="00CD677D">
        <w:rPr>
          <w:sz w:val="28"/>
          <w:szCs w:val="28"/>
          <w:lang w:val="uk-UA"/>
        </w:rPr>
        <w:t>Загальна кількість ставок по КПКВ 4060 «Забезпечення діяльності палаців і будинків культури, клубів, центрів дозвілля та інших клубних закладів» в порівнянні з початком року не змінювалася і становить 34,5 шт.</w:t>
      </w:r>
      <w:r w:rsidR="00CB1522">
        <w:rPr>
          <w:sz w:val="28"/>
          <w:szCs w:val="28"/>
          <w:lang w:val="uk-UA"/>
        </w:rPr>
        <w:t xml:space="preserve"> </w:t>
      </w:r>
      <w:r w:rsidRPr="00CD677D">
        <w:rPr>
          <w:sz w:val="28"/>
          <w:szCs w:val="28"/>
          <w:lang w:val="uk-UA"/>
        </w:rPr>
        <w:t xml:space="preserve">од., з них зайнятих ставок 31,75 </w:t>
      </w:r>
      <w:proofErr w:type="spellStart"/>
      <w:r w:rsidRPr="00CD677D">
        <w:rPr>
          <w:sz w:val="28"/>
          <w:szCs w:val="28"/>
          <w:lang w:val="uk-UA"/>
        </w:rPr>
        <w:t>шт.од</w:t>
      </w:r>
      <w:proofErr w:type="spellEnd"/>
      <w:r w:rsidRPr="00CD677D">
        <w:rPr>
          <w:sz w:val="28"/>
          <w:szCs w:val="28"/>
          <w:lang w:val="uk-UA"/>
        </w:rPr>
        <w:t xml:space="preserve">.. Кількість заходів проведених клубними закладами за 9 місяців  2021 року - 590, в т.ч. в місті </w:t>
      </w:r>
      <w:proofErr w:type="spellStart"/>
      <w:r w:rsidRPr="00CD677D">
        <w:rPr>
          <w:sz w:val="28"/>
          <w:szCs w:val="28"/>
          <w:lang w:val="uk-UA"/>
        </w:rPr>
        <w:t>Ананьївським</w:t>
      </w:r>
      <w:proofErr w:type="spellEnd"/>
      <w:r w:rsidRPr="00CD677D">
        <w:rPr>
          <w:sz w:val="28"/>
          <w:szCs w:val="28"/>
          <w:lang w:val="uk-UA"/>
        </w:rPr>
        <w:t xml:space="preserve"> будинком культури – 98; в сільських клубних закладах - 492. В тому числі територіально в місті Ананьїв проведено 72 заходи.</w:t>
      </w:r>
    </w:p>
    <w:p w:rsidR="00CD677D" w:rsidRPr="00CD677D" w:rsidRDefault="00CD677D" w:rsidP="00CD677D">
      <w:pPr>
        <w:ind w:firstLine="708"/>
        <w:jc w:val="both"/>
        <w:rPr>
          <w:sz w:val="28"/>
          <w:szCs w:val="28"/>
          <w:lang w:val="uk-UA"/>
        </w:rPr>
      </w:pPr>
      <w:r w:rsidRPr="00CD677D">
        <w:rPr>
          <w:b/>
          <w:sz w:val="28"/>
          <w:szCs w:val="28"/>
          <w:lang w:val="uk-UA"/>
        </w:rPr>
        <w:t>Видатки на утримання закладів фізичної культури і спорту</w:t>
      </w:r>
      <w:r w:rsidRPr="00CD677D">
        <w:rPr>
          <w:sz w:val="28"/>
          <w:szCs w:val="28"/>
          <w:lang w:val="uk-UA"/>
        </w:rPr>
        <w:t xml:space="preserve"> загального фонду ск</w:t>
      </w:r>
      <w:r w:rsidR="00E300FA">
        <w:rPr>
          <w:sz w:val="28"/>
          <w:szCs w:val="28"/>
          <w:lang w:val="uk-UA"/>
        </w:rPr>
        <w:t>ладають 1012,6</w:t>
      </w:r>
      <w:r w:rsidRPr="00CD677D">
        <w:rPr>
          <w:sz w:val="28"/>
          <w:szCs w:val="28"/>
          <w:lang w:val="uk-UA"/>
        </w:rPr>
        <w:t xml:space="preserve"> тис.</w:t>
      </w:r>
      <w:r w:rsidR="00CB1522">
        <w:rPr>
          <w:sz w:val="28"/>
          <w:szCs w:val="28"/>
          <w:lang w:val="uk-UA"/>
        </w:rPr>
        <w:t xml:space="preserve"> грн., в тому числі</w:t>
      </w:r>
      <w:r w:rsidRPr="00CD677D">
        <w:rPr>
          <w:sz w:val="28"/>
          <w:szCs w:val="28"/>
          <w:lang w:val="uk-UA"/>
        </w:rPr>
        <w:t>: утримання ДЮСШ</w:t>
      </w:r>
      <w:r w:rsidR="00CB1522">
        <w:rPr>
          <w:sz w:val="28"/>
          <w:szCs w:val="28"/>
          <w:lang w:val="uk-UA"/>
        </w:rPr>
        <w:t xml:space="preserve"> </w:t>
      </w:r>
      <w:r w:rsidRPr="00CD677D">
        <w:rPr>
          <w:sz w:val="28"/>
          <w:szCs w:val="28"/>
          <w:lang w:val="uk-UA"/>
        </w:rPr>
        <w:t xml:space="preserve">- 980,9 тис. </w:t>
      </w:r>
      <w:r w:rsidR="00CB1522">
        <w:rPr>
          <w:sz w:val="28"/>
          <w:szCs w:val="28"/>
          <w:lang w:val="uk-UA"/>
        </w:rPr>
        <w:t>грн.</w:t>
      </w:r>
      <w:r w:rsidRPr="00CD677D">
        <w:rPr>
          <w:sz w:val="28"/>
          <w:szCs w:val="28"/>
          <w:lang w:val="uk-UA"/>
        </w:rPr>
        <w:t>, підтримка ФК «Мрія» - 13,9 тис. грн., проведення спортивних заходів – 18,2 тис.</w:t>
      </w:r>
      <w:r w:rsidR="00CB1522">
        <w:rPr>
          <w:sz w:val="28"/>
          <w:szCs w:val="28"/>
          <w:lang w:val="uk-UA"/>
        </w:rPr>
        <w:t xml:space="preserve"> </w:t>
      </w:r>
      <w:r w:rsidRPr="00CD677D">
        <w:rPr>
          <w:sz w:val="28"/>
          <w:szCs w:val="28"/>
          <w:lang w:val="uk-UA"/>
        </w:rPr>
        <w:t xml:space="preserve">грн. </w:t>
      </w:r>
    </w:p>
    <w:p w:rsidR="00CD677D" w:rsidRPr="00CD677D" w:rsidRDefault="00CD677D" w:rsidP="00CD677D">
      <w:pPr>
        <w:ind w:firstLine="708"/>
        <w:jc w:val="both"/>
        <w:rPr>
          <w:sz w:val="28"/>
          <w:szCs w:val="28"/>
          <w:lang w:val="uk-UA"/>
        </w:rPr>
      </w:pPr>
      <w:r w:rsidRPr="00CD677D">
        <w:rPr>
          <w:sz w:val="28"/>
          <w:szCs w:val="28"/>
          <w:lang w:val="uk-UA"/>
        </w:rPr>
        <w:t>Питома вага виконання видатків на заробітну плату з нарахуваннями складає 79,7</w:t>
      </w:r>
      <w:r w:rsidRPr="00CD677D">
        <w:rPr>
          <w:sz w:val="26"/>
          <w:szCs w:val="26"/>
          <w:lang w:val="uk-UA"/>
        </w:rPr>
        <w:t xml:space="preserve">%. </w:t>
      </w:r>
    </w:p>
    <w:p w:rsidR="00CD677D" w:rsidRPr="00CD677D" w:rsidRDefault="00CD677D" w:rsidP="00CD677D">
      <w:pPr>
        <w:ind w:firstLine="708"/>
        <w:jc w:val="both"/>
        <w:rPr>
          <w:sz w:val="28"/>
          <w:szCs w:val="28"/>
          <w:lang w:val="uk-UA"/>
        </w:rPr>
      </w:pPr>
      <w:r w:rsidRPr="00CD677D">
        <w:rPr>
          <w:sz w:val="28"/>
          <w:szCs w:val="28"/>
          <w:lang w:val="uk-UA"/>
        </w:rPr>
        <w:t>Загальна кількість ставок по КПКВ 5031 «Утримання та навчально-тренувальна робота комунальних дитячо-юнацьких спортивних шкіл» не змінилася в порівнянні з початком року і складає 8 шт.</w:t>
      </w:r>
      <w:r w:rsidR="00CB1522">
        <w:rPr>
          <w:sz w:val="28"/>
          <w:szCs w:val="28"/>
          <w:lang w:val="uk-UA"/>
        </w:rPr>
        <w:t xml:space="preserve"> </w:t>
      </w:r>
      <w:r w:rsidRPr="00CD677D">
        <w:rPr>
          <w:sz w:val="28"/>
          <w:szCs w:val="28"/>
          <w:lang w:val="uk-UA"/>
        </w:rPr>
        <w:t>од., з них фактично зайнятих ставок 7,5 шт.</w:t>
      </w:r>
      <w:r w:rsidR="00CB1522">
        <w:rPr>
          <w:sz w:val="28"/>
          <w:szCs w:val="28"/>
          <w:lang w:val="uk-UA"/>
        </w:rPr>
        <w:t xml:space="preserve"> </w:t>
      </w:r>
      <w:r w:rsidRPr="00CD677D">
        <w:rPr>
          <w:sz w:val="28"/>
          <w:szCs w:val="28"/>
          <w:lang w:val="uk-UA"/>
        </w:rPr>
        <w:t>од. працівників.</w:t>
      </w:r>
    </w:p>
    <w:p w:rsidR="00CD677D" w:rsidRPr="00CD677D" w:rsidRDefault="00CD677D" w:rsidP="00CD677D">
      <w:pPr>
        <w:ind w:firstLine="708"/>
        <w:jc w:val="both"/>
        <w:rPr>
          <w:color w:val="000000"/>
          <w:sz w:val="28"/>
          <w:szCs w:val="28"/>
          <w:lang w:val="uk-UA"/>
        </w:rPr>
      </w:pPr>
      <w:r w:rsidRPr="00CD677D">
        <w:rPr>
          <w:color w:val="000000"/>
          <w:sz w:val="28"/>
          <w:szCs w:val="28"/>
          <w:lang w:val="uk-UA"/>
        </w:rPr>
        <w:t>Загальна кількість дітей, які навчаються в спортивній школі склала 192 осіб, в тому числі 40 вихованок.</w:t>
      </w:r>
    </w:p>
    <w:p w:rsidR="00CD677D" w:rsidRPr="00CD677D" w:rsidRDefault="00CD677D" w:rsidP="00CD677D">
      <w:pPr>
        <w:ind w:firstLine="708"/>
        <w:jc w:val="both"/>
        <w:rPr>
          <w:sz w:val="28"/>
          <w:szCs w:val="28"/>
          <w:lang w:val="uk-UA"/>
        </w:rPr>
      </w:pPr>
      <w:r w:rsidRPr="00CD677D">
        <w:rPr>
          <w:sz w:val="28"/>
          <w:szCs w:val="28"/>
          <w:lang w:val="uk-UA"/>
        </w:rPr>
        <w:t xml:space="preserve"> </w:t>
      </w:r>
      <w:r w:rsidRPr="00CD677D">
        <w:rPr>
          <w:b/>
          <w:sz w:val="28"/>
          <w:szCs w:val="28"/>
          <w:lang w:val="uk-UA"/>
        </w:rPr>
        <w:t>Видатки на утримання інші заходи з економічної діял</w:t>
      </w:r>
      <w:r w:rsidR="00CB1522">
        <w:rPr>
          <w:b/>
          <w:sz w:val="28"/>
          <w:szCs w:val="28"/>
          <w:lang w:val="uk-UA"/>
        </w:rPr>
        <w:t>ь</w:t>
      </w:r>
      <w:r w:rsidRPr="00CD677D">
        <w:rPr>
          <w:b/>
          <w:sz w:val="28"/>
          <w:szCs w:val="28"/>
          <w:lang w:val="uk-UA"/>
        </w:rPr>
        <w:t xml:space="preserve">ності проведені у сумі 473,0 тис. грн. в тому числі: </w:t>
      </w:r>
      <w:r w:rsidRPr="00CD677D">
        <w:rPr>
          <w:sz w:val="28"/>
          <w:szCs w:val="28"/>
          <w:lang w:val="uk-UA"/>
        </w:rPr>
        <w:t xml:space="preserve">на утримання трудового архіву - 336,0 тис. </w:t>
      </w:r>
      <w:r w:rsidR="00CB1522">
        <w:rPr>
          <w:sz w:val="28"/>
          <w:szCs w:val="28"/>
          <w:lang w:val="uk-UA"/>
        </w:rPr>
        <w:t xml:space="preserve">грн., проведення </w:t>
      </w:r>
      <w:proofErr w:type="spellStart"/>
      <w:r w:rsidR="00CB1522">
        <w:rPr>
          <w:sz w:val="28"/>
          <w:szCs w:val="28"/>
          <w:lang w:val="uk-UA"/>
        </w:rPr>
        <w:t>А</w:t>
      </w:r>
      <w:r w:rsidRPr="00CD677D">
        <w:rPr>
          <w:sz w:val="28"/>
          <w:szCs w:val="28"/>
          <w:lang w:val="uk-UA"/>
        </w:rPr>
        <w:t>грофорум</w:t>
      </w:r>
      <w:r w:rsidR="00E300FA">
        <w:rPr>
          <w:sz w:val="28"/>
          <w:szCs w:val="28"/>
          <w:lang w:val="uk-UA"/>
        </w:rPr>
        <w:t>у</w:t>
      </w:r>
      <w:proofErr w:type="spellEnd"/>
      <w:r w:rsidR="00E300FA">
        <w:rPr>
          <w:sz w:val="28"/>
          <w:szCs w:val="28"/>
          <w:lang w:val="uk-UA"/>
        </w:rPr>
        <w:t xml:space="preserve"> - </w:t>
      </w:r>
      <w:r w:rsidRPr="00CD677D">
        <w:rPr>
          <w:sz w:val="28"/>
          <w:szCs w:val="28"/>
          <w:lang w:val="uk-UA"/>
        </w:rPr>
        <w:t>88,0 тис. грн., ремонт музею – 49,0 тис. грн.</w:t>
      </w:r>
    </w:p>
    <w:p w:rsidR="00CD677D" w:rsidRPr="00CD677D" w:rsidRDefault="00CD677D" w:rsidP="00CD677D">
      <w:pPr>
        <w:ind w:firstLine="708"/>
        <w:jc w:val="both"/>
        <w:rPr>
          <w:sz w:val="28"/>
          <w:szCs w:val="28"/>
          <w:lang w:val="uk-UA"/>
        </w:rPr>
      </w:pPr>
      <w:r w:rsidRPr="00CD677D">
        <w:rPr>
          <w:b/>
          <w:sz w:val="28"/>
          <w:szCs w:val="28"/>
          <w:lang w:val="uk-UA"/>
        </w:rPr>
        <w:t>Видатки на реалізацію національної програми інформатизації</w:t>
      </w:r>
      <w:r w:rsidR="00E300FA">
        <w:rPr>
          <w:sz w:val="28"/>
          <w:szCs w:val="28"/>
          <w:lang w:val="uk-UA"/>
        </w:rPr>
        <w:t xml:space="preserve"> проведені у сумі 923 </w:t>
      </w:r>
      <w:r w:rsidRPr="00CD677D">
        <w:rPr>
          <w:sz w:val="28"/>
          <w:szCs w:val="28"/>
          <w:lang w:val="uk-UA"/>
        </w:rPr>
        <w:t xml:space="preserve">000 грн. </w:t>
      </w:r>
    </w:p>
    <w:p w:rsidR="00CD677D" w:rsidRPr="00CD677D" w:rsidRDefault="00CD677D" w:rsidP="00CD677D">
      <w:pPr>
        <w:ind w:firstLine="708"/>
        <w:jc w:val="both"/>
        <w:rPr>
          <w:sz w:val="28"/>
          <w:szCs w:val="28"/>
          <w:lang w:val="uk-UA"/>
        </w:rPr>
      </w:pPr>
      <w:r w:rsidRPr="00CD677D">
        <w:rPr>
          <w:sz w:val="28"/>
          <w:szCs w:val="28"/>
          <w:lang w:val="uk-UA"/>
        </w:rPr>
        <w:t>Видатки на продукти харчування, медикаменти, енергоносії профінансовані відповідно до плану асигнувань та заявок головних розпорядників коштів.</w:t>
      </w:r>
    </w:p>
    <w:p w:rsidR="00CD677D" w:rsidRPr="00CD677D" w:rsidRDefault="00CD677D" w:rsidP="00CD677D">
      <w:pPr>
        <w:tabs>
          <w:tab w:val="left" w:pos="1346"/>
        </w:tabs>
        <w:jc w:val="both"/>
        <w:rPr>
          <w:sz w:val="28"/>
          <w:szCs w:val="28"/>
          <w:lang w:val="uk-UA"/>
        </w:rPr>
      </w:pPr>
      <w:r w:rsidRPr="00CD677D">
        <w:rPr>
          <w:sz w:val="28"/>
          <w:szCs w:val="28"/>
          <w:lang w:val="uk-UA"/>
        </w:rPr>
        <w:t xml:space="preserve">          З метою проведення своєчасних розрахунків за електричну енергію, водопостачання та водовідведення, природний газ, які споживаються бюджетними установами  проведено укладання угод за кожним видом енергоносіїв у межах встановлених відповідним головним розпорядником бюджетних коштів районного бюджету обґрунтованих лімітів енергоспоживання.</w:t>
      </w:r>
    </w:p>
    <w:tbl>
      <w:tblPr>
        <w:tblW w:w="9462" w:type="dxa"/>
        <w:tblInd w:w="93" w:type="dxa"/>
        <w:tblLook w:val="04A0" w:firstRow="1" w:lastRow="0" w:firstColumn="1" w:lastColumn="0" w:noHBand="0" w:noVBand="1"/>
      </w:tblPr>
      <w:tblGrid>
        <w:gridCol w:w="3860"/>
        <w:gridCol w:w="1682"/>
        <w:gridCol w:w="1600"/>
        <w:gridCol w:w="2320"/>
      </w:tblGrid>
      <w:tr w:rsidR="00CD677D" w:rsidRPr="00CD677D" w:rsidTr="00CD677D">
        <w:trPr>
          <w:trHeight w:val="1575"/>
        </w:trPr>
        <w:tc>
          <w:tcPr>
            <w:tcW w:w="9462" w:type="dxa"/>
            <w:gridSpan w:val="4"/>
            <w:vAlign w:val="bottom"/>
          </w:tcPr>
          <w:p w:rsidR="00CD677D" w:rsidRPr="00CD677D" w:rsidRDefault="00CD677D" w:rsidP="00CB1522">
            <w:pPr>
              <w:jc w:val="both"/>
              <w:rPr>
                <w:bCs/>
                <w:color w:val="000000"/>
                <w:sz w:val="28"/>
                <w:szCs w:val="28"/>
                <w:lang w:val="uk-UA" w:eastAsia="uk-UA"/>
              </w:rPr>
            </w:pPr>
            <w:r w:rsidRPr="00CD677D">
              <w:rPr>
                <w:sz w:val="28"/>
                <w:szCs w:val="28"/>
                <w:lang w:val="uk-UA"/>
              </w:rPr>
              <w:lastRenderedPageBreak/>
              <w:t xml:space="preserve">      </w:t>
            </w:r>
            <w:r w:rsidR="00CB1522">
              <w:rPr>
                <w:sz w:val="28"/>
                <w:szCs w:val="28"/>
                <w:lang w:val="uk-UA"/>
              </w:rPr>
              <w:t xml:space="preserve">    </w:t>
            </w:r>
            <w:r w:rsidRPr="00CD677D">
              <w:rPr>
                <w:sz w:val="28"/>
                <w:szCs w:val="28"/>
                <w:lang w:val="uk-UA"/>
              </w:rPr>
              <w:t>Протягом 2021 року здійснено видатки бюджету розвитку Ананьївської міської</w:t>
            </w:r>
            <w:r w:rsidR="00E300FA">
              <w:rPr>
                <w:sz w:val="28"/>
                <w:szCs w:val="28"/>
                <w:lang w:val="uk-UA"/>
              </w:rPr>
              <w:t xml:space="preserve"> територіальної громади у сумі </w:t>
            </w:r>
            <w:r w:rsidRPr="00CD677D">
              <w:rPr>
                <w:sz w:val="28"/>
                <w:szCs w:val="28"/>
                <w:lang w:val="uk-UA"/>
              </w:rPr>
              <w:t>22</w:t>
            </w:r>
            <w:r w:rsidR="00E300FA">
              <w:rPr>
                <w:sz w:val="28"/>
                <w:szCs w:val="28"/>
                <w:lang w:val="uk-UA"/>
              </w:rPr>
              <w:t xml:space="preserve"> </w:t>
            </w:r>
            <w:r w:rsidRPr="00CD677D">
              <w:rPr>
                <w:sz w:val="28"/>
                <w:szCs w:val="28"/>
                <w:lang w:val="uk-UA"/>
              </w:rPr>
              <w:t>200 067,2</w:t>
            </w:r>
            <w:r w:rsidRPr="00CD677D">
              <w:rPr>
                <w:bCs/>
                <w:color w:val="000000"/>
                <w:sz w:val="28"/>
                <w:szCs w:val="28"/>
                <w:lang w:val="uk-UA" w:eastAsia="uk-UA"/>
              </w:rPr>
              <w:t xml:space="preserve"> грн</w:t>
            </w:r>
            <w:r w:rsidR="00CB1522">
              <w:rPr>
                <w:bCs/>
                <w:color w:val="000000"/>
                <w:sz w:val="28"/>
                <w:szCs w:val="28"/>
                <w:lang w:val="uk-UA" w:eastAsia="uk-UA"/>
              </w:rPr>
              <w:t>.</w:t>
            </w:r>
            <w:r w:rsidRPr="00CD677D">
              <w:rPr>
                <w:bCs/>
                <w:color w:val="000000"/>
                <w:sz w:val="28"/>
                <w:szCs w:val="28"/>
                <w:lang w:val="uk-UA" w:eastAsia="uk-UA"/>
              </w:rPr>
              <w:t xml:space="preserve">, з них за рахунок міського бюджету 2 640 675 грн. </w:t>
            </w:r>
          </w:p>
          <w:p w:rsidR="00CD677D" w:rsidRPr="00CB1522" w:rsidRDefault="00CD677D" w:rsidP="00CB1522">
            <w:pPr>
              <w:jc w:val="center"/>
              <w:rPr>
                <w:bCs/>
                <w:color w:val="000000"/>
                <w:lang w:val="uk-UA" w:eastAsia="uk-UA"/>
              </w:rPr>
            </w:pPr>
          </w:p>
          <w:p w:rsidR="00CD677D" w:rsidRPr="00CD677D" w:rsidRDefault="00CD677D" w:rsidP="00CB1522">
            <w:pPr>
              <w:jc w:val="center"/>
              <w:rPr>
                <w:b/>
                <w:bCs/>
              </w:rPr>
            </w:pPr>
            <w:proofErr w:type="spellStart"/>
            <w:r w:rsidRPr="00CD677D">
              <w:rPr>
                <w:b/>
                <w:bCs/>
              </w:rPr>
              <w:t>Перелік</w:t>
            </w:r>
            <w:proofErr w:type="spellEnd"/>
            <w:r w:rsidRPr="00CD677D">
              <w:rPr>
                <w:b/>
                <w:bCs/>
              </w:rPr>
              <w:t xml:space="preserve"> </w:t>
            </w:r>
            <w:proofErr w:type="spellStart"/>
            <w:r w:rsidRPr="00CD677D">
              <w:rPr>
                <w:b/>
                <w:bCs/>
              </w:rPr>
              <w:t>об`єктів</w:t>
            </w:r>
            <w:proofErr w:type="spellEnd"/>
            <w:r w:rsidRPr="00CD677D">
              <w:rPr>
                <w:b/>
                <w:bCs/>
              </w:rPr>
              <w:t xml:space="preserve">, </w:t>
            </w:r>
            <w:proofErr w:type="spellStart"/>
            <w:r w:rsidRPr="00CD677D">
              <w:rPr>
                <w:b/>
                <w:bCs/>
              </w:rPr>
              <w:t>видатки</w:t>
            </w:r>
            <w:proofErr w:type="spellEnd"/>
            <w:r w:rsidRPr="00CD677D">
              <w:rPr>
                <w:b/>
                <w:bCs/>
              </w:rPr>
              <w:t xml:space="preserve"> по </w:t>
            </w:r>
            <w:proofErr w:type="spellStart"/>
            <w:r w:rsidRPr="00CD677D">
              <w:rPr>
                <w:b/>
                <w:bCs/>
              </w:rPr>
              <w:t>яких</w:t>
            </w:r>
            <w:proofErr w:type="spellEnd"/>
            <w:r w:rsidRPr="00CD677D">
              <w:rPr>
                <w:b/>
                <w:bCs/>
              </w:rPr>
              <w:t xml:space="preserve"> </w:t>
            </w:r>
            <w:proofErr w:type="spellStart"/>
            <w:r w:rsidRPr="00CD677D">
              <w:rPr>
                <w:b/>
                <w:bCs/>
              </w:rPr>
              <w:t>здійснювалися</w:t>
            </w:r>
            <w:proofErr w:type="spellEnd"/>
            <w:r w:rsidRPr="00CD677D">
              <w:rPr>
                <w:b/>
                <w:bCs/>
              </w:rPr>
              <w:t xml:space="preserve"> у 2021 </w:t>
            </w:r>
            <w:proofErr w:type="spellStart"/>
            <w:r w:rsidRPr="00CD677D">
              <w:rPr>
                <w:b/>
                <w:bCs/>
              </w:rPr>
              <w:t>році</w:t>
            </w:r>
            <w:proofErr w:type="spellEnd"/>
            <w:r w:rsidRPr="00CD677D">
              <w:rPr>
                <w:b/>
                <w:bCs/>
              </w:rPr>
              <w:t xml:space="preserve"> за </w:t>
            </w:r>
            <w:proofErr w:type="spellStart"/>
            <w:r w:rsidRPr="00CD677D">
              <w:rPr>
                <w:b/>
                <w:bCs/>
              </w:rPr>
              <w:t>рахунок</w:t>
            </w:r>
            <w:proofErr w:type="spellEnd"/>
            <w:r w:rsidRPr="00CD677D">
              <w:rPr>
                <w:b/>
                <w:bCs/>
              </w:rPr>
              <w:t xml:space="preserve"> </w:t>
            </w:r>
            <w:proofErr w:type="spellStart"/>
            <w:r w:rsidRPr="00CD677D">
              <w:rPr>
                <w:b/>
                <w:bCs/>
              </w:rPr>
              <w:t>коштів</w:t>
            </w:r>
            <w:proofErr w:type="spellEnd"/>
            <w:r w:rsidRPr="00CD677D">
              <w:rPr>
                <w:b/>
                <w:bCs/>
              </w:rPr>
              <w:t xml:space="preserve"> </w:t>
            </w:r>
            <w:proofErr w:type="spellStart"/>
            <w:r w:rsidRPr="00CD677D">
              <w:rPr>
                <w:b/>
                <w:bCs/>
              </w:rPr>
              <w:t>субвенцій</w:t>
            </w:r>
            <w:proofErr w:type="spellEnd"/>
            <w:r w:rsidRPr="00CD677D">
              <w:rPr>
                <w:b/>
                <w:bCs/>
              </w:rPr>
              <w:t xml:space="preserve"> </w:t>
            </w:r>
            <w:proofErr w:type="gramStart"/>
            <w:r w:rsidRPr="00CD677D">
              <w:rPr>
                <w:b/>
                <w:bCs/>
              </w:rPr>
              <w:t>державного</w:t>
            </w:r>
            <w:proofErr w:type="gramEnd"/>
            <w:r w:rsidRPr="00CD677D">
              <w:rPr>
                <w:b/>
                <w:bCs/>
              </w:rPr>
              <w:t xml:space="preserve"> та </w:t>
            </w:r>
            <w:proofErr w:type="spellStart"/>
            <w:r w:rsidRPr="00CD677D">
              <w:rPr>
                <w:b/>
                <w:bCs/>
              </w:rPr>
              <w:t>обласного</w:t>
            </w:r>
            <w:proofErr w:type="spellEnd"/>
            <w:r w:rsidRPr="00CD677D">
              <w:rPr>
                <w:b/>
                <w:bCs/>
              </w:rPr>
              <w:t xml:space="preserve"> бюджету (</w:t>
            </w:r>
            <w:proofErr w:type="spellStart"/>
            <w:r w:rsidRPr="00CD677D">
              <w:rPr>
                <w:b/>
                <w:bCs/>
              </w:rPr>
              <w:t>спецфонд</w:t>
            </w:r>
            <w:proofErr w:type="spellEnd"/>
            <w:r w:rsidRPr="00CD677D">
              <w:rPr>
                <w:b/>
                <w:bCs/>
              </w:rPr>
              <w:t xml:space="preserve">) </w:t>
            </w:r>
          </w:p>
        </w:tc>
      </w:tr>
      <w:tr w:rsidR="00CD677D" w:rsidRPr="00CD677D" w:rsidTr="00CB1522">
        <w:trPr>
          <w:trHeight w:val="78"/>
        </w:trPr>
        <w:tc>
          <w:tcPr>
            <w:tcW w:w="3860" w:type="dxa"/>
            <w:hideMark/>
          </w:tcPr>
          <w:p w:rsidR="00CD677D" w:rsidRPr="00CD677D" w:rsidRDefault="00CD677D" w:rsidP="00CB1522">
            <w:pPr>
              <w:rPr>
                <w:sz w:val="20"/>
                <w:szCs w:val="20"/>
              </w:rPr>
            </w:pPr>
          </w:p>
        </w:tc>
        <w:tc>
          <w:tcPr>
            <w:tcW w:w="1682" w:type="dxa"/>
            <w:hideMark/>
          </w:tcPr>
          <w:p w:rsidR="00CD677D" w:rsidRPr="00CD677D" w:rsidRDefault="00CD677D" w:rsidP="00CB1522">
            <w:pPr>
              <w:rPr>
                <w:sz w:val="20"/>
                <w:szCs w:val="20"/>
              </w:rPr>
            </w:pPr>
          </w:p>
        </w:tc>
        <w:tc>
          <w:tcPr>
            <w:tcW w:w="1600" w:type="dxa"/>
            <w:hideMark/>
          </w:tcPr>
          <w:p w:rsidR="00CD677D" w:rsidRPr="00CD677D" w:rsidRDefault="00CD677D" w:rsidP="00CB1522">
            <w:pPr>
              <w:rPr>
                <w:sz w:val="20"/>
                <w:szCs w:val="20"/>
              </w:rPr>
            </w:pPr>
          </w:p>
        </w:tc>
        <w:tc>
          <w:tcPr>
            <w:tcW w:w="2320" w:type="dxa"/>
            <w:hideMark/>
          </w:tcPr>
          <w:p w:rsidR="00CD677D" w:rsidRPr="00CD677D" w:rsidRDefault="00CD677D" w:rsidP="00CB1522">
            <w:pPr>
              <w:rPr>
                <w:sz w:val="20"/>
                <w:szCs w:val="20"/>
              </w:rPr>
            </w:pPr>
          </w:p>
        </w:tc>
      </w:tr>
      <w:tr w:rsidR="00CD677D" w:rsidRPr="00CD677D" w:rsidTr="00CD677D">
        <w:trPr>
          <w:trHeight w:val="210"/>
        </w:trPr>
        <w:tc>
          <w:tcPr>
            <w:tcW w:w="3860" w:type="dxa"/>
            <w:tcBorders>
              <w:top w:val="nil"/>
              <w:left w:val="nil"/>
              <w:bottom w:val="single" w:sz="4" w:space="0" w:color="auto"/>
              <w:right w:val="nil"/>
            </w:tcBorders>
            <w:noWrap/>
            <w:vAlign w:val="bottom"/>
            <w:hideMark/>
          </w:tcPr>
          <w:p w:rsidR="00CD677D" w:rsidRPr="00CD677D" w:rsidRDefault="00CD677D" w:rsidP="00CB1522">
            <w:pPr>
              <w:jc w:val="center"/>
              <w:rPr>
                <w:b/>
                <w:bCs/>
                <w:sz w:val="28"/>
                <w:szCs w:val="28"/>
              </w:rPr>
            </w:pPr>
            <w:r w:rsidRPr="00CD677D">
              <w:rPr>
                <w:b/>
                <w:bCs/>
                <w:sz w:val="28"/>
                <w:szCs w:val="28"/>
              </w:rPr>
              <w:t> </w:t>
            </w:r>
          </w:p>
        </w:tc>
        <w:tc>
          <w:tcPr>
            <w:tcW w:w="1682" w:type="dxa"/>
            <w:tcBorders>
              <w:top w:val="nil"/>
              <w:left w:val="nil"/>
              <w:bottom w:val="single" w:sz="4" w:space="0" w:color="auto"/>
              <w:right w:val="nil"/>
            </w:tcBorders>
            <w:noWrap/>
            <w:vAlign w:val="bottom"/>
            <w:hideMark/>
          </w:tcPr>
          <w:p w:rsidR="00CD677D" w:rsidRPr="00CD677D" w:rsidRDefault="00CD677D" w:rsidP="00CB1522">
            <w:pPr>
              <w:jc w:val="center"/>
              <w:rPr>
                <w:sz w:val="20"/>
                <w:szCs w:val="20"/>
              </w:rPr>
            </w:pPr>
            <w:r w:rsidRPr="00CD677D">
              <w:rPr>
                <w:sz w:val="20"/>
                <w:szCs w:val="20"/>
              </w:rPr>
              <w:t> </w:t>
            </w:r>
          </w:p>
        </w:tc>
        <w:tc>
          <w:tcPr>
            <w:tcW w:w="1600" w:type="dxa"/>
            <w:noWrap/>
            <w:vAlign w:val="bottom"/>
            <w:hideMark/>
          </w:tcPr>
          <w:p w:rsidR="00CD677D" w:rsidRPr="00CD677D" w:rsidRDefault="00CD677D" w:rsidP="00CB1522">
            <w:pPr>
              <w:rPr>
                <w:sz w:val="20"/>
                <w:szCs w:val="20"/>
              </w:rPr>
            </w:pPr>
          </w:p>
        </w:tc>
        <w:tc>
          <w:tcPr>
            <w:tcW w:w="2320" w:type="dxa"/>
            <w:noWrap/>
            <w:hideMark/>
          </w:tcPr>
          <w:p w:rsidR="00CD677D" w:rsidRPr="00CD677D" w:rsidRDefault="00CD677D" w:rsidP="00CB1522">
            <w:pPr>
              <w:rPr>
                <w:sz w:val="20"/>
                <w:szCs w:val="20"/>
              </w:rPr>
            </w:pPr>
          </w:p>
        </w:tc>
      </w:tr>
      <w:tr w:rsidR="00CD677D" w:rsidRPr="00CD677D" w:rsidTr="00CD677D">
        <w:trPr>
          <w:trHeight w:val="945"/>
        </w:trPr>
        <w:tc>
          <w:tcPr>
            <w:tcW w:w="3860" w:type="dxa"/>
            <w:tcBorders>
              <w:top w:val="nil"/>
              <w:left w:val="single" w:sz="4" w:space="0" w:color="auto"/>
              <w:bottom w:val="single" w:sz="4" w:space="0" w:color="auto"/>
              <w:right w:val="single" w:sz="4" w:space="0" w:color="auto"/>
            </w:tcBorders>
            <w:vAlign w:val="center"/>
            <w:hideMark/>
          </w:tcPr>
          <w:p w:rsidR="00CD677D" w:rsidRPr="00CD677D" w:rsidRDefault="00CD677D" w:rsidP="00CB1522">
            <w:pPr>
              <w:jc w:val="center"/>
              <w:rPr>
                <w:b/>
                <w:bCs/>
              </w:rPr>
            </w:pPr>
            <w:proofErr w:type="spellStart"/>
            <w:r w:rsidRPr="00CD677D">
              <w:rPr>
                <w:b/>
                <w:bCs/>
              </w:rPr>
              <w:t>Назва</w:t>
            </w:r>
            <w:proofErr w:type="spellEnd"/>
            <w:r w:rsidRPr="00CD677D">
              <w:rPr>
                <w:b/>
                <w:bCs/>
              </w:rPr>
              <w:t xml:space="preserve"> </w:t>
            </w:r>
            <w:proofErr w:type="spellStart"/>
            <w:r w:rsidRPr="00CD677D">
              <w:rPr>
                <w:b/>
                <w:bCs/>
              </w:rPr>
              <w:t>об’єктів</w:t>
            </w:r>
            <w:proofErr w:type="spellEnd"/>
            <w:r w:rsidRPr="00CD677D">
              <w:rPr>
                <w:b/>
                <w:bCs/>
              </w:rPr>
              <w:t xml:space="preserve"> </w:t>
            </w:r>
            <w:proofErr w:type="spellStart"/>
            <w:proofErr w:type="gramStart"/>
            <w:r w:rsidRPr="00CD677D">
              <w:rPr>
                <w:b/>
                <w:bCs/>
              </w:rPr>
              <w:t>в</w:t>
            </w:r>
            <w:proofErr w:type="gramEnd"/>
            <w:r w:rsidRPr="00CD677D">
              <w:rPr>
                <w:b/>
                <w:bCs/>
              </w:rPr>
              <w:t>ідповідно</w:t>
            </w:r>
            <w:proofErr w:type="spellEnd"/>
            <w:r w:rsidRPr="00CD677D">
              <w:rPr>
                <w:b/>
                <w:bCs/>
              </w:rPr>
              <w:t xml:space="preserve">  до проектно- </w:t>
            </w:r>
            <w:proofErr w:type="spellStart"/>
            <w:r w:rsidRPr="00CD677D">
              <w:rPr>
                <w:b/>
                <w:bCs/>
              </w:rPr>
              <w:t>кошторисної</w:t>
            </w:r>
            <w:proofErr w:type="spellEnd"/>
            <w:r w:rsidRPr="00CD677D">
              <w:rPr>
                <w:b/>
                <w:bCs/>
              </w:rPr>
              <w:t xml:space="preserve"> </w:t>
            </w:r>
            <w:proofErr w:type="spellStart"/>
            <w:r w:rsidRPr="00CD677D">
              <w:rPr>
                <w:b/>
                <w:bCs/>
              </w:rPr>
              <w:t>документації</w:t>
            </w:r>
            <w:proofErr w:type="spellEnd"/>
          </w:p>
        </w:tc>
        <w:tc>
          <w:tcPr>
            <w:tcW w:w="1682" w:type="dxa"/>
            <w:tcBorders>
              <w:top w:val="nil"/>
              <w:left w:val="nil"/>
              <w:bottom w:val="single" w:sz="4" w:space="0" w:color="auto"/>
              <w:right w:val="single" w:sz="4" w:space="0" w:color="auto"/>
            </w:tcBorders>
            <w:vAlign w:val="center"/>
            <w:hideMark/>
          </w:tcPr>
          <w:p w:rsidR="00CD677D" w:rsidRPr="00CD677D" w:rsidRDefault="00CD677D" w:rsidP="00CB1522">
            <w:pPr>
              <w:jc w:val="center"/>
              <w:rPr>
                <w:b/>
                <w:bCs/>
              </w:rPr>
            </w:pPr>
            <w:proofErr w:type="spellStart"/>
            <w:r w:rsidRPr="00CD677D">
              <w:rPr>
                <w:b/>
                <w:bCs/>
              </w:rPr>
              <w:t>Заплановано</w:t>
            </w:r>
            <w:proofErr w:type="spellEnd"/>
            <w:r w:rsidRPr="00CD677D">
              <w:rPr>
                <w:b/>
                <w:bCs/>
              </w:rPr>
              <w:t xml:space="preserve">, </w:t>
            </w:r>
            <w:proofErr w:type="spellStart"/>
            <w:r w:rsidRPr="00CD677D">
              <w:rPr>
                <w:b/>
                <w:bCs/>
              </w:rPr>
              <w:t>грн</w:t>
            </w:r>
            <w:proofErr w:type="spellEnd"/>
          </w:p>
        </w:tc>
        <w:tc>
          <w:tcPr>
            <w:tcW w:w="1600" w:type="dxa"/>
            <w:tcBorders>
              <w:top w:val="single" w:sz="4" w:space="0" w:color="auto"/>
              <w:left w:val="nil"/>
              <w:bottom w:val="single" w:sz="4" w:space="0" w:color="auto"/>
              <w:right w:val="single" w:sz="4" w:space="0" w:color="auto"/>
            </w:tcBorders>
            <w:vAlign w:val="center"/>
            <w:hideMark/>
          </w:tcPr>
          <w:p w:rsidR="00CD677D" w:rsidRPr="00CD677D" w:rsidRDefault="00CD677D" w:rsidP="00CB1522">
            <w:pPr>
              <w:jc w:val="center"/>
              <w:rPr>
                <w:b/>
                <w:bCs/>
              </w:rPr>
            </w:pPr>
            <w:proofErr w:type="spellStart"/>
            <w:r w:rsidRPr="00CD677D">
              <w:rPr>
                <w:b/>
                <w:bCs/>
              </w:rPr>
              <w:t>Виконано</w:t>
            </w:r>
            <w:proofErr w:type="spellEnd"/>
            <w:r w:rsidRPr="00CD677D">
              <w:rPr>
                <w:b/>
                <w:bCs/>
              </w:rPr>
              <w:t xml:space="preserve">, </w:t>
            </w:r>
            <w:proofErr w:type="spellStart"/>
            <w:r w:rsidRPr="00CD677D">
              <w:rPr>
                <w:b/>
                <w:bCs/>
              </w:rPr>
              <w:t>грн</w:t>
            </w:r>
            <w:proofErr w:type="spellEnd"/>
            <w:r w:rsidRPr="00CD677D">
              <w:rPr>
                <w:b/>
                <w:bCs/>
              </w:rPr>
              <w:t xml:space="preserve"> </w:t>
            </w:r>
          </w:p>
        </w:tc>
        <w:tc>
          <w:tcPr>
            <w:tcW w:w="2320" w:type="dxa"/>
            <w:tcBorders>
              <w:top w:val="single" w:sz="4" w:space="0" w:color="auto"/>
              <w:left w:val="nil"/>
              <w:bottom w:val="single" w:sz="4" w:space="0" w:color="auto"/>
              <w:right w:val="single" w:sz="4" w:space="0" w:color="auto"/>
            </w:tcBorders>
            <w:vAlign w:val="center"/>
            <w:hideMark/>
          </w:tcPr>
          <w:p w:rsidR="00CD677D" w:rsidRPr="00CD677D" w:rsidRDefault="00CD677D" w:rsidP="00CB1522">
            <w:pPr>
              <w:jc w:val="center"/>
              <w:rPr>
                <w:b/>
                <w:bCs/>
              </w:rPr>
            </w:pPr>
            <w:r w:rsidRPr="00CD677D">
              <w:rPr>
                <w:b/>
                <w:bCs/>
              </w:rPr>
              <w:t xml:space="preserve">Бюджет з </w:t>
            </w:r>
            <w:proofErr w:type="spellStart"/>
            <w:r w:rsidRPr="00CD677D">
              <w:rPr>
                <w:b/>
                <w:bCs/>
              </w:rPr>
              <w:t>якого</w:t>
            </w:r>
            <w:proofErr w:type="spellEnd"/>
            <w:r w:rsidRPr="00CD677D">
              <w:rPr>
                <w:b/>
                <w:bCs/>
              </w:rPr>
              <w:t xml:space="preserve"> </w:t>
            </w:r>
            <w:proofErr w:type="spellStart"/>
            <w:r w:rsidRPr="00CD677D">
              <w:rPr>
                <w:b/>
                <w:bCs/>
              </w:rPr>
              <w:t>виділялися</w:t>
            </w:r>
            <w:proofErr w:type="spellEnd"/>
            <w:r w:rsidRPr="00CD677D">
              <w:rPr>
                <w:b/>
                <w:bCs/>
              </w:rPr>
              <w:t xml:space="preserve"> </w:t>
            </w:r>
            <w:proofErr w:type="spellStart"/>
            <w:r w:rsidRPr="00CD677D">
              <w:rPr>
                <w:b/>
                <w:bCs/>
              </w:rPr>
              <w:t>кошти</w:t>
            </w:r>
            <w:proofErr w:type="spellEnd"/>
            <w:r w:rsidRPr="00CD677D">
              <w:rPr>
                <w:b/>
                <w:bCs/>
              </w:rPr>
              <w:t xml:space="preserve"> (</w:t>
            </w:r>
            <w:proofErr w:type="spellStart"/>
            <w:r w:rsidRPr="00CD677D">
              <w:rPr>
                <w:b/>
                <w:bCs/>
              </w:rPr>
              <w:t>держ</w:t>
            </w:r>
            <w:proofErr w:type="spellEnd"/>
            <w:r w:rsidRPr="00CD677D">
              <w:rPr>
                <w:b/>
                <w:bCs/>
              </w:rPr>
              <w:t>./обл.)</w:t>
            </w:r>
          </w:p>
        </w:tc>
      </w:tr>
      <w:tr w:rsidR="00CD677D" w:rsidRPr="00CD677D" w:rsidTr="00CD677D">
        <w:trPr>
          <w:trHeight w:val="1260"/>
        </w:trPr>
        <w:tc>
          <w:tcPr>
            <w:tcW w:w="3860" w:type="dxa"/>
            <w:tcBorders>
              <w:top w:val="nil"/>
              <w:left w:val="single" w:sz="4" w:space="0" w:color="auto"/>
              <w:bottom w:val="single" w:sz="4" w:space="0" w:color="auto"/>
              <w:right w:val="single" w:sz="4" w:space="0" w:color="auto"/>
            </w:tcBorders>
            <w:vAlign w:val="center"/>
            <w:hideMark/>
          </w:tcPr>
          <w:p w:rsidR="00CD677D" w:rsidRPr="00CB1522" w:rsidRDefault="00CD677D" w:rsidP="00CB1522">
            <w:pPr>
              <w:rPr>
                <w:iCs/>
                <w:sz w:val="18"/>
                <w:szCs w:val="18"/>
              </w:rPr>
            </w:pPr>
            <w:proofErr w:type="spellStart"/>
            <w:r w:rsidRPr="00CB1522">
              <w:rPr>
                <w:iCs/>
                <w:sz w:val="18"/>
                <w:szCs w:val="18"/>
              </w:rPr>
              <w:t>Капітальний</w:t>
            </w:r>
            <w:proofErr w:type="spellEnd"/>
            <w:r w:rsidRPr="00CB1522">
              <w:rPr>
                <w:iCs/>
                <w:sz w:val="18"/>
                <w:szCs w:val="18"/>
              </w:rPr>
              <w:t xml:space="preserve"> ремонт </w:t>
            </w:r>
            <w:proofErr w:type="spellStart"/>
            <w:r w:rsidRPr="00CB1522">
              <w:rPr>
                <w:iCs/>
                <w:sz w:val="18"/>
                <w:szCs w:val="18"/>
              </w:rPr>
              <w:t>приміщень</w:t>
            </w:r>
            <w:proofErr w:type="spellEnd"/>
            <w:r w:rsidRPr="00CB1522">
              <w:rPr>
                <w:iCs/>
                <w:sz w:val="18"/>
                <w:szCs w:val="18"/>
              </w:rPr>
              <w:t xml:space="preserve"> </w:t>
            </w:r>
            <w:proofErr w:type="spellStart"/>
            <w:r w:rsidRPr="00CB1522">
              <w:rPr>
                <w:iCs/>
                <w:sz w:val="18"/>
                <w:szCs w:val="18"/>
              </w:rPr>
              <w:t>інфекційного</w:t>
            </w:r>
            <w:proofErr w:type="spellEnd"/>
            <w:r w:rsidRPr="00CB1522">
              <w:rPr>
                <w:iCs/>
                <w:sz w:val="18"/>
                <w:szCs w:val="18"/>
              </w:rPr>
              <w:t xml:space="preserve"> </w:t>
            </w:r>
            <w:proofErr w:type="spellStart"/>
            <w:r w:rsidRPr="00CB1522">
              <w:rPr>
                <w:iCs/>
                <w:sz w:val="18"/>
                <w:szCs w:val="18"/>
              </w:rPr>
              <w:t>відділення</w:t>
            </w:r>
            <w:proofErr w:type="spellEnd"/>
            <w:r w:rsidRPr="00CB1522">
              <w:rPr>
                <w:iCs/>
                <w:sz w:val="18"/>
                <w:szCs w:val="18"/>
              </w:rPr>
              <w:t xml:space="preserve"> КНП “Ананьївська </w:t>
            </w:r>
            <w:proofErr w:type="spellStart"/>
            <w:r w:rsidRPr="00CB1522">
              <w:rPr>
                <w:iCs/>
                <w:sz w:val="18"/>
                <w:szCs w:val="18"/>
              </w:rPr>
              <w:t>багатопрофільна</w:t>
            </w:r>
            <w:proofErr w:type="spellEnd"/>
            <w:r w:rsidRPr="00CB1522">
              <w:rPr>
                <w:iCs/>
                <w:sz w:val="18"/>
                <w:szCs w:val="18"/>
              </w:rPr>
              <w:t xml:space="preserve"> </w:t>
            </w:r>
            <w:proofErr w:type="spellStart"/>
            <w:r w:rsidRPr="00CB1522">
              <w:rPr>
                <w:iCs/>
                <w:sz w:val="18"/>
                <w:szCs w:val="18"/>
              </w:rPr>
              <w:t>міська</w:t>
            </w:r>
            <w:proofErr w:type="spellEnd"/>
            <w:r w:rsidRPr="00CB1522">
              <w:rPr>
                <w:iCs/>
                <w:sz w:val="18"/>
                <w:szCs w:val="18"/>
              </w:rPr>
              <w:t xml:space="preserve"> </w:t>
            </w:r>
            <w:proofErr w:type="spellStart"/>
            <w:r w:rsidRPr="00CB1522">
              <w:rPr>
                <w:iCs/>
                <w:sz w:val="18"/>
                <w:szCs w:val="18"/>
              </w:rPr>
              <w:t>лікарня</w:t>
            </w:r>
            <w:proofErr w:type="spellEnd"/>
            <w:r w:rsidRPr="00CB1522">
              <w:rPr>
                <w:iCs/>
                <w:sz w:val="18"/>
                <w:szCs w:val="18"/>
              </w:rPr>
              <w:t xml:space="preserve"> Ананьївської </w:t>
            </w:r>
            <w:proofErr w:type="spellStart"/>
            <w:r w:rsidRPr="00CB1522">
              <w:rPr>
                <w:iCs/>
                <w:sz w:val="18"/>
                <w:szCs w:val="18"/>
              </w:rPr>
              <w:t>міської</w:t>
            </w:r>
            <w:proofErr w:type="spellEnd"/>
            <w:r w:rsidRPr="00CB1522">
              <w:rPr>
                <w:iCs/>
                <w:sz w:val="18"/>
                <w:szCs w:val="18"/>
              </w:rPr>
              <w:t xml:space="preserve"> </w:t>
            </w:r>
            <w:proofErr w:type="gramStart"/>
            <w:r w:rsidRPr="00CB1522">
              <w:rPr>
                <w:iCs/>
                <w:sz w:val="18"/>
                <w:szCs w:val="18"/>
              </w:rPr>
              <w:t>ради</w:t>
            </w:r>
            <w:proofErr w:type="gramEnd"/>
            <w:r w:rsidRPr="00CB1522">
              <w:rPr>
                <w:iCs/>
                <w:sz w:val="18"/>
                <w:szCs w:val="18"/>
              </w:rPr>
              <w:t xml:space="preserve">” за </w:t>
            </w:r>
            <w:proofErr w:type="spellStart"/>
            <w:r w:rsidRPr="00CB1522">
              <w:rPr>
                <w:iCs/>
                <w:sz w:val="18"/>
                <w:szCs w:val="18"/>
              </w:rPr>
              <w:t>адресою</w:t>
            </w:r>
            <w:proofErr w:type="spellEnd"/>
            <w:r w:rsidRPr="00CB1522">
              <w:rPr>
                <w:iCs/>
                <w:sz w:val="18"/>
                <w:szCs w:val="18"/>
              </w:rPr>
              <w:t xml:space="preserve">: </w:t>
            </w:r>
            <w:proofErr w:type="spellStart"/>
            <w:r w:rsidRPr="00CB1522">
              <w:rPr>
                <w:iCs/>
                <w:sz w:val="18"/>
                <w:szCs w:val="18"/>
              </w:rPr>
              <w:t>Одеська</w:t>
            </w:r>
            <w:proofErr w:type="spellEnd"/>
            <w:r w:rsidRPr="00CB1522">
              <w:rPr>
                <w:iCs/>
                <w:sz w:val="18"/>
                <w:szCs w:val="18"/>
              </w:rPr>
              <w:t xml:space="preserve"> область, </w:t>
            </w:r>
            <w:proofErr w:type="spellStart"/>
            <w:r w:rsidRPr="00CB1522">
              <w:rPr>
                <w:iCs/>
                <w:sz w:val="18"/>
                <w:szCs w:val="18"/>
              </w:rPr>
              <w:t>Подільський</w:t>
            </w:r>
            <w:proofErr w:type="spellEnd"/>
            <w:r w:rsidRPr="00CB1522">
              <w:rPr>
                <w:iCs/>
                <w:sz w:val="18"/>
                <w:szCs w:val="18"/>
              </w:rPr>
              <w:t xml:space="preserve"> район, </w:t>
            </w:r>
            <w:proofErr w:type="spellStart"/>
            <w:r w:rsidRPr="00CB1522">
              <w:rPr>
                <w:iCs/>
                <w:sz w:val="18"/>
                <w:szCs w:val="18"/>
              </w:rPr>
              <w:t>м</w:t>
            </w:r>
            <w:proofErr w:type="gramStart"/>
            <w:r w:rsidRPr="00CB1522">
              <w:rPr>
                <w:iCs/>
                <w:sz w:val="18"/>
                <w:szCs w:val="18"/>
              </w:rPr>
              <w:t>.А</w:t>
            </w:r>
            <w:proofErr w:type="gramEnd"/>
            <w:r w:rsidRPr="00CB1522">
              <w:rPr>
                <w:iCs/>
                <w:sz w:val="18"/>
                <w:szCs w:val="18"/>
              </w:rPr>
              <w:t>наньїв</w:t>
            </w:r>
            <w:proofErr w:type="spellEnd"/>
            <w:r w:rsidRPr="00CB1522">
              <w:rPr>
                <w:iCs/>
                <w:sz w:val="18"/>
                <w:szCs w:val="18"/>
              </w:rPr>
              <w:t xml:space="preserve">, </w:t>
            </w:r>
            <w:proofErr w:type="spellStart"/>
            <w:r w:rsidRPr="00CB1522">
              <w:rPr>
                <w:iCs/>
                <w:sz w:val="18"/>
                <w:szCs w:val="18"/>
              </w:rPr>
              <w:t>вул</w:t>
            </w:r>
            <w:proofErr w:type="spellEnd"/>
            <w:r w:rsidRPr="00CB1522">
              <w:rPr>
                <w:iCs/>
                <w:sz w:val="18"/>
                <w:szCs w:val="18"/>
              </w:rPr>
              <w:t xml:space="preserve">. </w:t>
            </w:r>
            <w:proofErr w:type="spellStart"/>
            <w:r w:rsidRPr="00CB1522">
              <w:rPr>
                <w:iCs/>
                <w:sz w:val="18"/>
                <w:szCs w:val="18"/>
              </w:rPr>
              <w:t>Героїв</w:t>
            </w:r>
            <w:proofErr w:type="spellEnd"/>
            <w:r w:rsidRPr="00CB1522">
              <w:rPr>
                <w:iCs/>
                <w:sz w:val="18"/>
                <w:szCs w:val="18"/>
              </w:rPr>
              <w:t xml:space="preserve"> </w:t>
            </w:r>
            <w:proofErr w:type="spellStart"/>
            <w:r w:rsidRPr="00CB1522">
              <w:rPr>
                <w:iCs/>
                <w:sz w:val="18"/>
                <w:szCs w:val="18"/>
              </w:rPr>
              <w:t>України</w:t>
            </w:r>
            <w:proofErr w:type="spellEnd"/>
            <w:r w:rsidRPr="00CB1522">
              <w:rPr>
                <w:iCs/>
                <w:sz w:val="18"/>
                <w:szCs w:val="18"/>
              </w:rPr>
              <w:t xml:space="preserve">, буд.45" </w:t>
            </w:r>
          </w:p>
        </w:tc>
        <w:tc>
          <w:tcPr>
            <w:tcW w:w="1682"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1500000</w:t>
            </w:r>
          </w:p>
        </w:tc>
        <w:tc>
          <w:tcPr>
            <w:tcW w:w="160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1500000</w:t>
            </w:r>
          </w:p>
        </w:tc>
        <w:tc>
          <w:tcPr>
            <w:tcW w:w="232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держаний</w:t>
            </w:r>
          </w:p>
        </w:tc>
      </w:tr>
      <w:tr w:rsidR="00CD677D" w:rsidRPr="00CD677D" w:rsidTr="00CD677D">
        <w:trPr>
          <w:trHeight w:val="315"/>
        </w:trPr>
        <w:tc>
          <w:tcPr>
            <w:tcW w:w="3860" w:type="dxa"/>
            <w:tcBorders>
              <w:top w:val="nil"/>
              <w:left w:val="single" w:sz="4" w:space="0" w:color="auto"/>
              <w:bottom w:val="single" w:sz="4" w:space="0" w:color="auto"/>
              <w:right w:val="single" w:sz="4" w:space="0" w:color="auto"/>
            </w:tcBorders>
            <w:vAlign w:val="center"/>
            <w:hideMark/>
          </w:tcPr>
          <w:p w:rsidR="00CD677D" w:rsidRPr="00CB1522" w:rsidRDefault="00CD677D" w:rsidP="00CB1522">
            <w:pPr>
              <w:rPr>
                <w:iCs/>
                <w:sz w:val="18"/>
                <w:szCs w:val="18"/>
              </w:rPr>
            </w:pPr>
            <w:proofErr w:type="spellStart"/>
            <w:r w:rsidRPr="00CB1522">
              <w:rPr>
                <w:iCs/>
                <w:sz w:val="18"/>
                <w:szCs w:val="18"/>
              </w:rPr>
              <w:t>Придбання</w:t>
            </w:r>
            <w:proofErr w:type="spellEnd"/>
            <w:r w:rsidRPr="00CB1522">
              <w:rPr>
                <w:iCs/>
                <w:sz w:val="18"/>
                <w:szCs w:val="18"/>
              </w:rPr>
              <w:t xml:space="preserve"> </w:t>
            </w:r>
            <w:proofErr w:type="spellStart"/>
            <w:r w:rsidRPr="00CB1522">
              <w:rPr>
                <w:iCs/>
                <w:sz w:val="18"/>
                <w:szCs w:val="18"/>
              </w:rPr>
              <w:t>медичного</w:t>
            </w:r>
            <w:proofErr w:type="spellEnd"/>
            <w:r w:rsidRPr="00CB1522">
              <w:rPr>
                <w:iCs/>
                <w:sz w:val="18"/>
                <w:szCs w:val="18"/>
              </w:rPr>
              <w:t xml:space="preserve"> </w:t>
            </w:r>
            <w:proofErr w:type="spellStart"/>
            <w:r w:rsidRPr="00CB1522">
              <w:rPr>
                <w:iCs/>
                <w:sz w:val="18"/>
                <w:szCs w:val="18"/>
              </w:rPr>
              <w:t>обладнання</w:t>
            </w:r>
            <w:proofErr w:type="spellEnd"/>
            <w:r w:rsidRPr="00CB1522">
              <w:rPr>
                <w:iCs/>
                <w:sz w:val="18"/>
                <w:szCs w:val="18"/>
              </w:rPr>
              <w:t xml:space="preserve">, </w:t>
            </w:r>
            <w:proofErr w:type="spellStart"/>
            <w:r w:rsidRPr="00CB1522">
              <w:rPr>
                <w:iCs/>
                <w:sz w:val="18"/>
                <w:szCs w:val="18"/>
              </w:rPr>
              <w:t>устаткування</w:t>
            </w:r>
            <w:proofErr w:type="spellEnd"/>
            <w:r w:rsidRPr="00CB1522">
              <w:rPr>
                <w:iCs/>
                <w:sz w:val="18"/>
                <w:szCs w:val="18"/>
              </w:rPr>
              <w:t xml:space="preserve"> </w:t>
            </w:r>
          </w:p>
        </w:tc>
        <w:tc>
          <w:tcPr>
            <w:tcW w:w="1682"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6844970</w:t>
            </w:r>
          </w:p>
        </w:tc>
        <w:tc>
          <w:tcPr>
            <w:tcW w:w="160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6844970</w:t>
            </w:r>
          </w:p>
        </w:tc>
        <w:tc>
          <w:tcPr>
            <w:tcW w:w="232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держаний</w:t>
            </w:r>
          </w:p>
        </w:tc>
      </w:tr>
      <w:tr w:rsidR="00CD677D" w:rsidRPr="00CD677D" w:rsidTr="00CB1522">
        <w:trPr>
          <w:trHeight w:val="1307"/>
        </w:trPr>
        <w:tc>
          <w:tcPr>
            <w:tcW w:w="3860" w:type="dxa"/>
            <w:tcBorders>
              <w:top w:val="nil"/>
              <w:left w:val="single" w:sz="4" w:space="0" w:color="auto"/>
              <w:bottom w:val="single" w:sz="4" w:space="0" w:color="auto"/>
              <w:right w:val="single" w:sz="4" w:space="0" w:color="auto"/>
            </w:tcBorders>
            <w:vAlign w:val="center"/>
            <w:hideMark/>
          </w:tcPr>
          <w:p w:rsidR="00CD677D" w:rsidRPr="00CB1522" w:rsidRDefault="00CD677D" w:rsidP="00CB1522">
            <w:pPr>
              <w:rPr>
                <w:iCs/>
                <w:sz w:val="18"/>
                <w:szCs w:val="18"/>
              </w:rPr>
            </w:pPr>
            <w:proofErr w:type="spellStart"/>
            <w:r w:rsidRPr="00CB1522">
              <w:rPr>
                <w:iCs/>
                <w:sz w:val="18"/>
                <w:szCs w:val="18"/>
              </w:rPr>
              <w:t>Капітальний</w:t>
            </w:r>
            <w:proofErr w:type="spellEnd"/>
            <w:r w:rsidRPr="00CB1522">
              <w:rPr>
                <w:iCs/>
                <w:sz w:val="18"/>
                <w:szCs w:val="18"/>
              </w:rPr>
              <w:t xml:space="preserve"> ремонт </w:t>
            </w:r>
            <w:proofErr w:type="spellStart"/>
            <w:r w:rsidRPr="00CB1522">
              <w:rPr>
                <w:iCs/>
                <w:sz w:val="18"/>
                <w:szCs w:val="18"/>
              </w:rPr>
              <w:t>приміщень</w:t>
            </w:r>
            <w:proofErr w:type="spellEnd"/>
            <w:r w:rsidRPr="00CB1522">
              <w:rPr>
                <w:iCs/>
                <w:sz w:val="18"/>
                <w:szCs w:val="18"/>
              </w:rPr>
              <w:t xml:space="preserve"> </w:t>
            </w:r>
            <w:proofErr w:type="spellStart"/>
            <w:r w:rsidRPr="00CB1522">
              <w:rPr>
                <w:iCs/>
                <w:sz w:val="18"/>
                <w:szCs w:val="18"/>
              </w:rPr>
              <w:t>інфекційного</w:t>
            </w:r>
            <w:proofErr w:type="spellEnd"/>
            <w:r w:rsidRPr="00CB1522">
              <w:rPr>
                <w:iCs/>
                <w:sz w:val="18"/>
                <w:szCs w:val="18"/>
              </w:rPr>
              <w:t xml:space="preserve"> </w:t>
            </w:r>
            <w:proofErr w:type="spellStart"/>
            <w:r w:rsidRPr="00CB1522">
              <w:rPr>
                <w:iCs/>
                <w:sz w:val="18"/>
                <w:szCs w:val="18"/>
              </w:rPr>
              <w:t>відділення</w:t>
            </w:r>
            <w:proofErr w:type="spellEnd"/>
            <w:r w:rsidRPr="00CB1522">
              <w:rPr>
                <w:iCs/>
                <w:sz w:val="18"/>
                <w:szCs w:val="18"/>
              </w:rPr>
              <w:t xml:space="preserve"> КНП “Ананьївська </w:t>
            </w:r>
            <w:proofErr w:type="spellStart"/>
            <w:r w:rsidRPr="00CB1522">
              <w:rPr>
                <w:iCs/>
                <w:sz w:val="18"/>
                <w:szCs w:val="18"/>
              </w:rPr>
              <w:t>багатопрофільна</w:t>
            </w:r>
            <w:proofErr w:type="spellEnd"/>
            <w:r w:rsidRPr="00CB1522">
              <w:rPr>
                <w:iCs/>
                <w:sz w:val="18"/>
                <w:szCs w:val="18"/>
              </w:rPr>
              <w:t xml:space="preserve"> </w:t>
            </w:r>
            <w:proofErr w:type="spellStart"/>
            <w:r w:rsidRPr="00CB1522">
              <w:rPr>
                <w:iCs/>
                <w:sz w:val="18"/>
                <w:szCs w:val="18"/>
              </w:rPr>
              <w:t>міська</w:t>
            </w:r>
            <w:proofErr w:type="spellEnd"/>
            <w:r w:rsidRPr="00CB1522">
              <w:rPr>
                <w:iCs/>
                <w:sz w:val="18"/>
                <w:szCs w:val="18"/>
              </w:rPr>
              <w:t xml:space="preserve"> </w:t>
            </w:r>
            <w:proofErr w:type="spellStart"/>
            <w:r w:rsidRPr="00CB1522">
              <w:rPr>
                <w:iCs/>
                <w:sz w:val="18"/>
                <w:szCs w:val="18"/>
              </w:rPr>
              <w:t>лікарня</w:t>
            </w:r>
            <w:proofErr w:type="spellEnd"/>
            <w:r w:rsidRPr="00CB1522">
              <w:rPr>
                <w:iCs/>
                <w:sz w:val="18"/>
                <w:szCs w:val="18"/>
              </w:rPr>
              <w:t xml:space="preserve"> Ананьївської </w:t>
            </w:r>
            <w:proofErr w:type="spellStart"/>
            <w:r w:rsidRPr="00CB1522">
              <w:rPr>
                <w:iCs/>
                <w:sz w:val="18"/>
                <w:szCs w:val="18"/>
              </w:rPr>
              <w:t>міської</w:t>
            </w:r>
            <w:proofErr w:type="spellEnd"/>
            <w:r w:rsidRPr="00CB1522">
              <w:rPr>
                <w:iCs/>
                <w:sz w:val="18"/>
                <w:szCs w:val="18"/>
              </w:rPr>
              <w:t xml:space="preserve"> </w:t>
            </w:r>
            <w:proofErr w:type="gramStart"/>
            <w:r w:rsidRPr="00CB1522">
              <w:rPr>
                <w:iCs/>
                <w:sz w:val="18"/>
                <w:szCs w:val="18"/>
              </w:rPr>
              <w:t>ради</w:t>
            </w:r>
            <w:proofErr w:type="gramEnd"/>
            <w:r w:rsidRPr="00CB1522">
              <w:rPr>
                <w:iCs/>
                <w:sz w:val="18"/>
                <w:szCs w:val="18"/>
              </w:rPr>
              <w:t xml:space="preserve">” за </w:t>
            </w:r>
            <w:proofErr w:type="spellStart"/>
            <w:r w:rsidRPr="00CB1522">
              <w:rPr>
                <w:iCs/>
                <w:sz w:val="18"/>
                <w:szCs w:val="18"/>
              </w:rPr>
              <w:t>адресою</w:t>
            </w:r>
            <w:proofErr w:type="spellEnd"/>
            <w:r w:rsidRPr="00CB1522">
              <w:rPr>
                <w:iCs/>
                <w:sz w:val="18"/>
                <w:szCs w:val="18"/>
              </w:rPr>
              <w:t xml:space="preserve">: </w:t>
            </w:r>
            <w:proofErr w:type="spellStart"/>
            <w:r w:rsidRPr="00CB1522">
              <w:rPr>
                <w:iCs/>
                <w:sz w:val="18"/>
                <w:szCs w:val="18"/>
              </w:rPr>
              <w:t>Одеська</w:t>
            </w:r>
            <w:proofErr w:type="spellEnd"/>
            <w:r w:rsidRPr="00CB1522">
              <w:rPr>
                <w:iCs/>
                <w:sz w:val="18"/>
                <w:szCs w:val="18"/>
              </w:rPr>
              <w:t xml:space="preserve"> область, </w:t>
            </w:r>
            <w:proofErr w:type="spellStart"/>
            <w:r w:rsidRPr="00CB1522">
              <w:rPr>
                <w:iCs/>
                <w:sz w:val="18"/>
                <w:szCs w:val="18"/>
              </w:rPr>
              <w:t>Подільський</w:t>
            </w:r>
            <w:proofErr w:type="spellEnd"/>
            <w:r w:rsidRPr="00CB1522">
              <w:rPr>
                <w:iCs/>
                <w:sz w:val="18"/>
                <w:szCs w:val="18"/>
              </w:rPr>
              <w:t xml:space="preserve"> район, </w:t>
            </w:r>
            <w:proofErr w:type="spellStart"/>
            <w:r w:rsidRPr="00CB1522">
              <w:rPr>
                <w:iCs/>
                <w:sz w:val="18"/>
                <w:szCs w:val="18"/>
              </w:rPr>
              <w:t>м</w:t>
            </w:r>
            <w:proofErr w:type="gramStart"/>
            <w:r w:rsidRPr="00CB1522">
              <w:rPr>
                <w:iCs/>
                <w:sz w:val="18"/>
                <w:szCs w:val="18"/>
              </w:rPr>
              <w:t>.А</w:t>
            </w:r>
            <w:proofErr w:type="gramEnd"/>
            <w:r w:rsidRPr="00CB1522">
              <w:rPr>
                <w:iCs/>
                <w:sz w:val="18"/>
                <w:szCs w:val="18"/>
              </w:rPr>
              <w:t>наньїв</w:t>
            </w:r>
            <w:proofErr w:type="spellEnd"/>
            <w:r w:rsidRPr="00CB1522">
              <w:rPr>
                <w:iCs/>
                <w:sz w:val="18"/>
                <w:szCs w:val="18"/>
              </w:rPr>
              <w:t xml:space="preserve">, </w:t>
            </w:r>
            <w:proofErr w:type="spellStart"/>
            <w:r w:rsidRPr="00CB1522">
              <w:rPr>
                <w:iCs/>
                <w:sz w:val="18"/>
                <w:szCs w:val="18"/>
              </w:rPr>
              <w:t>вул</w:t>
            </w:r>
            <w:proofErr w:type="spellEnd"/>
            <w:r w:rsidRPr="00CB1522">
              <w:rPr>
                <w:iCs/>
                <w:sz w:val="18"/>
                <w:szCs w:val="18"/>
              </w:rPr>
              <w:t xml:space="preserve">. </w:t>
            </w:r>
            <w:proofErr w:type="spellStart"/>
            <w:r w:rsidRPr="00CB1522">
              <w:rPr>
                <w:iCs/>
                <w:sz w:val="18"/>
                <w:szCs w:val="18"/>
              </w:rPr>
              <w:t>Героїв</w:t>
            </w:r>
            <w:proofErr w:type="spellEnd"/>
            <w:r w:rsidRPr="00CB1522">
              <w:rPr>
                <w:iCs/>
                <w:sz w:val="18"/>
                <w:szCs w:val="18"/>
              </w:rPr>
              <w:t xml:space="preserve"> </w:t>
            </w:r>
            <w:proofErr w:type="spellStart"/>
            <w:r w:rsidRPr="00CB1522">
              <w:rPr>
                <w:iCs/>
                <w:sz w:val="18"/>
                <w:szCs w:val="18"/>
              </w:rPr>
              <w:t>України</w:t>
            </w:r>
            <w:proofErr w:type="spellEnd"/>
            <w:r w:rsidRPr="00CB1522">
              <w:rPr>
                <w:iCs/>
                <w:sz w:val="18"/>
                <w:szCs w:val="18"/>
              </w:rPr>
              <w:t xml:space="preserve">, буд.45" </w:t>
            </w:r>
          </w:p>
        </w:tc>
        <w:tc>
          <w:tcPr>
            <w:tcW w:w="1682"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1776680,39</w:t>
            </w:r>
          </w:p>
        </w:tc>
        <w:tc>
          <w:tcPr>
            <w:tcW w:w="160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1776680,39</w:t>
            </w:r>
          </w:p>
        </w:tc>
        <w:tc>
          <w:tcPr>
            <w:tcW w:w="232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держаний</w:t>
            </w:r>
          </w:p>
        </w:tc>
      </w:tr>
      <w:tr w:rsidR="00CD677D" w:rsidRPr="00CD677D" w:rsidTr="00CB5A83">
        <w:trPr>
          <w:trHeight w:val="1695"/>
        </w:trPr>
        <w:tc>
          <w:tcPr>
            <w:tcW w:w="3860" w:type="dxa"/>
            <w:tcBorders>
              <w:top w:val="nil"/>
              <w:left w:val="single" w:sz="4" w:space="0" w:color="auto"/>
              <w:bottom w:val="single" w:sz="4" w:space="0" w:color="auto"/>
              <w:right w:val="single" w:sz="4" w:space="0" w:color="auto"/>
            </w:tcBorders>
            <w:vAlign w:val="center"/>
            <w:hideMark/>
          </w:tcPr>
          <w:p w:rsidR="00CD677D" w:rsidRPr="00CB5A83" w:rsidRDefault="00CD677D" w:rsidP="00CB1522">
            <w:pPr>
              <w:rPr>
                <w:iCs/>
                <w:sz w:val="18"/>
                <w:szCs w:val="18"/>
              </w:rPr>
            </w:pPr>
            <w:proofErr w:type="spellStart"/>
            <w:r w:rsidRPr="00CB5A83">
              <w:rPr>
                <w:iCs/>
                <w:sz w:val="18"/>
                <w:szCs w:val="18"/>
              </w:rPr>
              <w:t>Капітальний</w:t>
            </w:r>
            <w:proofErr w:type="spellEnd"/>
            <w:r w:rsidRPr="00CB5A83">
              <w:rPr>
                <w:iCs/>
                <w:sz w:val="18"/>
                <w:szCs w:val="18"/>
              </w:rPr>
              <w:t xml:space="preserve"> ремонт </w:t>
            </w:r>
            <w:proofErr w:type="spellStart"/>
            <w:r w:rsidRPr="00CB5A83">
              <w:rPr>
                <w:iCs/>
                <w:sz w:val="18"/>
                <w:szCs w:val="18"/>
              </w:rPr>
              <w:t>прилеглої</w:t>
            </w:r>
            <w:proofErr w:type="spellEnd"/>
            <w:r w:rsidRPr="00CB5A83">
              <w:rPr>
                <w:iCs/>
                <w:sz w:val="18"/>
                <w:szCs w:val="18"/>
              </w:rPr>
              <w:t xml:space="preserve"> </w:t>
            </w:r>
            <w:proofErr w:type="spellStart"/>
            <w:r w:rsidRPr="00CB5A83">
              <w:rPr>
                <w:iCs/>
                <w:sz w:val="18"/>
                <w:szCs w:val="18"/>
              </w:rPr>
              <w:t>території</w:t>
            </w:r>
            <w:proofErr w:type="spellEnd"/>
            <w:r w:rsidRPr="00CB5A83">
              <w:rPr>
                <w:iCs/>
                <w:sz w:val="18"/>
                <w:szCs w:val="18"/>
              </w:rPr>
              <w:t xml:space="preserve"> </w:t>
            </w:r>
            <w:proofErr w:type="spellStart"/>
            <w:r w:rsidRPr="00CB5A83">
              <w:rPr>
                <w:iCs/>
                <w:sz w:val="18"/>
                <w:szCs w:val="18"/>
              </w:rPr>
              <w:t>Комунального</w:t>
            </w:r>
            <w:proofErr w:type="spellEnd"/>
            <w:r w:rsidRPr="00CB5A83">
              <w:rPr>
                <w:iCs/>
                <w:sz w:val="18"/>
                <w:szCs w:val="18"/>
              </w:rPr>
              <w:t xml:space="preserve"> </w:t>
            </w:r>
            <w:proofErr w:type="spellStart"/>
            <w:r w:rsidRPr="00CB5A83">
              <w:rPr>
                <w:iCs/>
                <w:sz w:val="18"/>
                <w:szCs w:val="18"/>
              </w:rPr>
              <w:t>некомерційного</w:t>
            </w:r>
            <w:proofErr w:type="spellEnd"/>
            <w:r w:rsidRPr="00CB5A83">
              <w:rPr>
                <w:iCs/>
                <w:sz w:val="18"/>
                <w:szCs w:val="18"/>
              </w:rPr>
              <w:t xml:space="preserve"> </w:t>
            </w:r>
            <w:proofErr w:type="spellStart"/>
            <w:proofErr w:type="gramStart"/>
            <w:r w:rsidRPr="00CB5A83">
              <w:rPr>
                <w:iCs/>
                <w:sz w:val="18"/>
                <w:szCs w:val="18"/>
              </w:rPr>
              <w:t>п</w:t>
            </w:r>
            <w:proofErr w:type="gramEnd"/>
            <w:r w:rsidRPr="00CB5A83">
              <w:rPr>
                <w:iCs/>
                <w:sz w:val="18"/>
                <w:szCs w:val="18"/>
              </w:rPr>
              <w:t>ідприємства</w:t>
            </w:r>
            <w:proofErr w:type="spellEnd"/>
            <w:r w:rsidRPr="00CB5A83">
              <w:rPr>
                <w:iCs/>
                <w:sz w:val="18"/>
                <w:szCs w:val="18"/>
              </w:rPr>
              <w:t xml:space="preserve"> "Ананьївська </w:t>
            </w:r>
            <w:proofErr w:type="spellStart"/>
            <w:r w:rsidRPr="00CB5A83">
              <w:rPr>
                <w:iCs/>
                <w:sz w:val="18"/>
                <w:szCs w:val="18"/>
              </w:rPr>
              <w:t>багатопрофільна</w:t>
            </w:r>
            <w:proofErr w:type="spellEnd"/>
            <w:r w:rsidRPr="00CB5A83">
              <w:rPr>
                <w:iCs/>
                <w:sz w:val="18"/>
                <w:szCs w:val="18"/>
              </w:rPr>
              <w:t xml:space="preserve"> </w:t>
            </w:r>
            <w:proofErr w:type="spellStart"/>
            <w:r w:rsidRPr="00CB5A83">
              <w:rPr>
                <w:iCs/>
                <w:sz w:val="18"/>
                <w:szCs w:val="18"/>
              </w:rPr>
              <w:t>міська</w:t>
            </w:r>
            <w:proofErr w:type="spellEnd"/>
            <w:r w:rsidRPr="00CB5A83">
              <w:rPr>
                <w:iCs/>
                <w:sz w:val="18"/>
                <w:szCs w:val="18"/>
              </w:rPr>
              <w:t xml:space="preserve"> </w:t>
            </w:r>
            <w:proofErr w:type="spellStart"/>
            <w:r w:rsidRPr="00CB5A83">
              <w:rPr>
                <w:iCs/>
                <w:sz w:val="18"/>
                <w:szCs w:val="18"/>
              </w:rPr>
              <w:t>лікарня</w:t>
            </w:r>
            <w:proofErr w:type="spellEnd"/>
            <w:r w:rsidRPr="00CB5A83">
              <w:rPr>
                <w:iCs/>
                <w:sz w:val="18"/>
                <w:szCs w:val="18"/>
              </w:rPr>
              <w:t xml:space="preserve"> Ананьївської </w:t>
            </w:r>
            <w:proofErr w:type="spellStart"/>
            <w:r w:rsidRPr="00CB5A83">
              <w:rPr>
                <w:iCs/>
                <w:sz w:val="18"/>
                <w:szCs w:val="18"/>
              </w:rPr>
              <w:t>міської</w:t>
            </w:r>
            <w:proofErr w:type="spellEnd"/>
            <w:r w:rsidRPr="00CB5A83">
              <w:rPr>
                <w:iCs/>
                <w:sz w:val="18"/>
                <w:szCs w:val="18"/>
              </w:rPr>
              <w:t xml:space="preserve"> ради" за </w:t>
            </w:r>
            <w:proofErr w:type="spellStart"/>
            <w:r w:rsidRPr="00CB5A83">
              <w:rPr>
                <w:iCs/>
                <w:sz w:val="18"/>
                <w:szCs w:val="18"/>
              </w:rPr>
              <w:t>адресою</w:t>
            </w:r>
            <w:proofErr w:type="spellEnd"/>
            <w:r w:rsidRPr="00CB5A83">
              <w:rPr>
                <w:iCs/>
                <w:sz w:val="18"/>
                <w:szCs w:val="18"/>
              </w:rPr>
              <w:t xml:space="preserve">: </w:t>
            </w:r>
            <w:proofErr w:type="spellStart"/>
            <w:r w:rsidRPr="00CB5A83">
              <w:rPr>
                <w:iCs/>
                <w:sz w:val="18"/>
                <w:szCs w:val="18"/>
              </w:rPr>
              <w:t>Одеська</w:t>
            </w:r>
            <w:proofErr w:type="spellEnd"/>
            <w:r w:rsidRPr="00CB5A83">
              <w:rPr>
                <w:iCs/>
                <w:sz w:val="18"/>
                <w:szCs w:val="18"/>
              </w:rPr>
              <w:t xml:space="preserve"> область, </w:t>
            </w:r>
            <w:proofErr w:type="spellStart"/>
            <w:r w:rsidRPr="00CB5A83">
              <w:rPr>
                <w:iCs/>
                <w:sz w:val="18"/>
                <w:szCs w:val="18"/>
              </w:rPr>
              <w:t>Подільський</w:t>
            </w:r>
            <w:proofErr w:type="spellEnd"/>
            <w:r w:rsidRPr="00CB5A83">
              <w:rPr>
                <w:iCs/>
                <w:sz w:val="18"/>
                <w:szCs w:val="18"/>
              </w:rPr>
              <w:t xml:space="preserve"> район, </w:t>
            </w:r>
            <w:proofErr w:type="spellStart"/>
            <w:r w:rsidRPr="00CB5A83">
              <w:rPr>
                <w:iCs/>
                <w:sz w:val="18"/>
                <w:szCs w:val="18"/>
              </w:rPr>
              <w:t>м</w:t>
            </w:r>
            <w:proofErr w:type="gramStart"/>
            <w:r w:rsidRPr="00CB5A83">
              <w:rPr>
                <w:iCs/>
                <w:sz w:val="18"/>
                <w:szCs w:val="18"/>
              </w:rPr>
              <w:t>.А</w:t>
            </w:r>
            <w:proofErr w:type="gramEnd"/>
            <w:r w:rsidRPr="00CB5A83">
              <w:rPr>
                <w:iCs/>
                <w:sz w:val="18"/>
                <w:szCs w:val="18"/>
              </w:rPr>
              <w:t>наньїв</w:t>
            </w:r>
            <w:proofErr w:type="spellEnd"/>
            <w:r w:rsidRPr="00CB5A83">
              <w:rPr>
                <w:iCs/>
                <w:sz w:val="18"/>
                <w:szCs w:val="18"/>
              </w:rPr>
              <w:t xml:space="preserve">, </w:t>
            </w:r>
            <w:proofErr w:type="spellStart"/>
            <w:r w:rsidRPr="00CB5A83">
              <w:rPr>
                <w:iCs/>
                <w:sz w:val="18"/>
                <w:szCs w:val="18"/>
              </w:rPr>
              <w:t>вулиця</w:t>
            </w:r>
            <w:proofErr w:type="spellEnd"/>
            <w:r w:rsidRPr="00CB5A83">
              <w:rPr>
                <w:iCs/>
                <w:sz w:val="18"/>
                <w:szCs w:val="18"/>
              </w:rPr>
              <w:t xml:space="preserve"> </w:t>
            </w:r>
            <w:proofErr w:type="spellStart"/>
            <w:r w:rsidRPr="00CB5A83">
              <w:rPr>
                <w:iCs/>
                <w:sz w:val="18"/>
                <w:szCs w:val="18"/>
              </w:rPr>
              <w:t>Героїв</w:t>
            </w:r>
            <w:proofErr w:type="spellEnd"/>
            <w:r w:rsidRPr="00CB5A83">
              <w:rPr>
                <w:iCs/>
                <w:sz w:val="18"/>
                <w:szCs w:val="18"/>
              </w:rPr>
              <w:t xml:space="preserve"> </w:t>
            </w:r>
            <w:proofErr w:type="spellStart"/>
            <w:r w:rsidRPr="00CB5A83">
              <w:rPr>
                <w:iCs/>
                <w:sz w:val="18"/>
                <w:szCs w:val="18"/>
              </w:rPr>
              <w:t>України</w:t>
            </w:r>
            <w:proofErr w:type="spellEnd"/>
            <w:r w:rsidRPr="00CB5A83">
              <w:rPr>
                <w:iCs/>
                <w:sz w:val="18"/>
                <w:szCs w:val="18"/>
              </w:rPr>
              <w:t xml:space="preserve">, буд.45" </w:t>
            </w:r>
          </w:p>
        </w:tc>
        <w:tc>
          <w:tcPr>
            <w:tcW w:w="1682"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59349,61</w:t>
            </w:r>
          </w:p>
        </w:tc>
        <w:tc>
          <w:tcPr>
            <w:tcW w:w="160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59349,61</w:t>
            </w:r>
          </w:p>
        </w:tc>
        <w:tc>
          <w:tcPr>
            <w:tcW w:w="232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держаний</w:t>
            </w:r>
          </w:p>
        </w:tc>
      </w:tr>
      <w:tr w:rsidR="00CD677D" w:rsidRPr="00CD677D" w:rsidTr="00CD677D">
        <w:trPr>
          <w:trHeight w:val="1110"/>
        </w:trPr>
        <w:tc>
          <w:tcPr>
            <w:tcW w:w="3860" w:type="dxa"/>
            <w:tcBorders>
              <w:top w:val="nil"/>
              <w:left w:val="single" w:sz="4" w:space="0" w:color="auto"/>
              <w:bottom w:val="single" w:sz="4" w:space="0" w:color="auto"/>
              <w:right w:val="single" w:sz="4" w:space="0" w:color="auto"/>
            </w:tcBorders>
            <w:vAlign w:val="center"/>
            <w:hideMark/>
          </w:tcPr>
          <w:p w:rsidR="00CD677D" w:rsidRPr="00CB5A83" w:rsidRDefault="00CD677D" w:rsidP="00CB1522">
            <w:pPr>
              <w:rPr>
                <w:iCs/>
                <w:sz w:val="18"/>
                <w:szCs w:val="18"/>
              </w:rPr>
            </w:pPr>
            <w:r w:rsidRPr="00CB5A83">
              <w:rPr>
                <w:iCs/>
                <w:sz w:val="18"/>
                <w:szCs w:val="18"/>
              </w:rPr>
              <w:t>«</w:t>
            </w:r>
            <w:proofErr w:type="spellStart"/>
            <w:r w:rsidRPr="00CB5A83">
              <w:rPr>
                <w:iCs/>
                <w:sz w:val="18"/>
                <w:szCs w:val="18"/>
              </w:rPr>
              <w:t>Реконструкція</w:t>
            </w:r>
            <w:proofErr w:type="spellEnd"/>
            <w:r w:rsidRPr="00CB5A83">
              <w:rPr>
                <w:iCs/>
                <w:sz w:val="18"/>
                <w:szCs w:val="18"/>
              </w:rPr>
              <w:t xml:space="preserve"> </w:t>
            </w:r>
            <w:proofErr w:type="spellStart"/>
            <w:r w:rsidRPr="00CB5A83">
              <w:rPr>
                <w:iCs/>
                <w:sz w:val="18"/>
                <w:szCs w:val="18"/>
              </w:rPr>
              <w:t>міського</w:t>
            </w:r>
            <w:proofErr w:type="spellEnd"/>
            <w:r w:rsidRPr="00CB5A83">
              <w:rPr>
                <w:iCs/>
                <w:sz w:val="18"/>
                <w:szCs w:val="18"/>
              </w:rPr>
              <w:t xml:space="preserve"> </w:t>
            </w:r>
            <w:proofErr w:type="gramStart"/>
            <w:r w:rsidRPr="00CB5A83">
              <w:rPr>
                <w:iCs/>
                <w:sz w:val="18"/>
                <w:szCs w:val="18"/>
              </w:rPr>
              <w:t>спортивного</w:t>
            </w:r>
            <w:proofErr w:type="gramEnd"/>
            <w:r w:rsidRPr="00CB5A83">
              <w:rPr>
                <w:iCs/>
                <w:sz w:val="18"/>
                <w:szCs w:val="18"/>
              </w:rPr>
              <w:t xml:space="preserve"> комплексу з </w:t>
            </w:r>
            <w:proofErr w:type="spellStart"/>
            <w:r w:rsidRPr="00CB5A83">
              <w:rPr>
                <w:iCs/>
                <w:sz w:val="18"/>
                <w:szCs w:val="18"/>
              </w:rPr>
              <w:t>будівництвом</w:t>
            </w:r>
            <w:proofErr w:type="spellEnd"/>
            <w:r w:rsidRPr="00CB5A83">
              <w:rPr>
                <w:iCs/>
                <w:sz w:val="18"/>
                <w:szCs w:val="18"/>
              </w:rPr>
              <w:br/>
            </w:r>
            <w:proofErr w:type="spellStart"/>
            <w:r w:rsidRPr="00CB5A83">
              <w:rPr>
                <w:iCs/>
                <w:sz w:val="18"/>
                <w:szCs w:val="18"/>
              </w:rPr>
              <w:t>універсальної</w:t>
            </w:r>
            <w:proofErr w:type="spellEnd"/>
            <w:r w:rsidRPr="00CB5A83">
              <w:rPr>
                <w:iCs/>
                <w:sz w:val="18"/>
                <w:szCs w:val="18"/>
              </w:rPr>
              <w:t xml:space="preserve"> </w:t>
            </w:r>
            <w:proofErr w:type="spellStart"/>
            <w:r w:rsidRPr="00CB5A83">
              <w:rPr>
                <w:iCs/>
                <w:sz w:val="18"/>
                <w:szCs w:val="18"/>
              </w:rPr>
              <w:t>критої</w:t>
            </w:r>
            <w:proofErr w:type="spellEnd"/>
            <w:r w:rsidRPr="00CB5A83">
              <w:rPr>
                <w:iCs/>
                <w:sz w:val="18"/>
                <w:szCs w:val="18"/>
              </w:rPr>
              <w:t xml:space="preserve"> </w:t>
            </w:r>
            <w:proofErr w:type="spellStart"/>
            <w:r w:rsidRPr="00CB5A83">
              <w:rPr>
                <w:iCs/>
                <w:sz w:val="18"/>
                <w:szCs w:val="18"/>
              </w:rPr>
              <w:t>зали</w:t>
            </w:r>
            <w:proofErr w:type="spellEnd"/>
            <w:r w:rsidRPr="00CB5A83">
              <w:rPr>
                <w:iCs/>
                <w:sz w:val="18"/>
                <w:szCs w:val="18"/>
              </w:rPr>
              <w:t xml:space="preserve"> по </w:t>
            </w:r>
            <w:proofErr w:type="spellStart"/>
            <w:r w:rsidRPr="00CB5A83">
              <w:rPr>
                <w:iCs/>
                <w:sz w:val="18"/>
                <w:szCs w:val="18"/>
              </w:rPr>
              <w:t>вул</w:t>
            </w:r>
            <w:proofErr w:type="spellEnd"/>
            <w:r w:rsidRPr="00CB5A83">
              <w:rPr>
                <w:iCs/>
                <w:sz w:val="18"/>
                <w:szCs w:val="18"/>
              </w:rPr>
              <w:t xml:space="preserve">. </w:t>
            </w:r>
            <w:proofErr w:type="spellStart"/>
            <w:r w:rsidRPr="00CB5A83">
              <w:rPr>
                <w:iCs/>
                <w:sz w:val="18"/>
                <w:szCs w:val="18"/>
              </w:rPr>
              <w:t>Одеській</w:t>
            </w:r>
            <w:proofErr w:type="spellEnd"/>
            <w:r w:rsidRPr="00CB5A83">
              <w:rPr>
                <w:iCs/>
                <w:sz w:val="18"/>
                <w:szCs w:val="18"/>
              </w:rPr>
              <w:t xml:space="preserve">, </w:t>
            </w:r>
            <w:proofErr w:type="spellStart"/>
            <w:r w:rsidRPr="00CB5A83">
              <w:rPr>
                <w:iCs/>
                <w:sz w:val="18"/>
                <w:szCs w:val="18"/>
              </w:rPr>
              <w:t>буд</w:t>
            </w:r>
            <w:proofErr w:type="spellEnd"/>
            <w:r w:rsidRPr="00CB5A83">
              <w:rPr>
                <w:iCs/>
                <w:sz w:val="18"/>
                <w:szCs w:val="18"/>
              </w:rPr>
              <w:t xml:space="preserve"> 1/а, в м. Ананьїв, </w:t>
            </w:r>
            <w:proofErr w:type="spellStart"/>
            <w:r w:rsidRPr="00CB5A83">
              <w:rPr>
                <w:iCs/>
                <w:sz w:val="18"/>
                <w:szCs w:val="18"/>
              </w:rPr>
              <w:t>Одеської</w:t>
            </w:r>
            <w:proofErr w:type="spellEnd"/>
            <w:r w:rsidRPr="00CB5A83">
              <w:rPr>
                <w:iCs/>
                <w:sz w:val="18"/>
                <w:szCs w:val="18"/>
              </w:rPr>
              <w:t xml:space="preserve"> </w:t>
            </w:r>
            <w:proofErr w:type="spellStart"/>
            <w:r w:rsidRPr="00CB5A83">
              <w:rPr>
                <w:iCs/>
                <w:sz w:val="18"/>
                <w:szCs w:val="18"/>
              </w:rPr>
              <w:t>області</w:t>
            </w:r>
            <w:proofErr w:type="spellEnd"/>
            <w:r w:rsidRPr="00CB5A83">
              <w:rPr>
                <w:iCs/>
                <w:sz w:val="18"/>
                <w:szCs w:val="18"/>
              </w:rPr>
              <w:t xml:space="preserve"> (</w:t>
            </w:r>
            <w:proofErr w:type="spellStart"/>
            <w:r w:rsidRPr="00CB5A83">
              <w:rPr>
                <w:iCs/>
                <w:sz w:val="18"/>
                <w:szCs w:val="18"/>
              </w:rPr>
              <w:t>коригування</w:t>
            </w:r>
            <w:proofErr w:type="spellEnd"/>
            <w:r w:rsidRPr="00CB5A83">
              <w:rPr>
                <w:iCs/>
                <w:sz w:val="18"/>
                <w:szCs w:val="18"/>
              </w:rPr>
              <w:t>)»</w:t>
            </w:r>
          </w:p>
        </w:tc>
        <w:tc>
          <w:tcPr>
            <w:tcW w:w="1682"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450000</w:t>
            </w:r>
          </w:p>
        </w:tc>
        <w:tc>
          <w:tcPr>
            <w:tcW w:w="160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450000</w:t>
            </w:r>
          </w:p>
        </w:tc>
        <w:tc>
          <w:tcPr>
            <w:tcW w:w="232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proofErr w:type="spellStart"/>
            <w:r w:rsidRPr="00CD677D">
              <w:rPr>
                <w:sz w:val="18"/>
                <w:szCs w:val="18"/>
              </w:rPr>
              <w:t>обласний</w:t>
            </w:r>
            <w:proofErr w:type="spellEnd"/>
          </w:p>
        </w:tc>
      </w:tr>
      <w:tr w:rsidR="00CD677D" w:rsidRPr="00CD677D" w:rsidTr="00CD677D">
        <w:trPr>
          <w:trHeight w:val="1155"/>
        </w:trPr>
        <w:tc>
          <w:tcPr>
            <w:tcW w:w="3860" w:type="dxa"/>
            <w:tcBorders>
              <w:top w:val="nil"/>
              <w:left w:val="single" w:sz="4" w:space="0" w:color="auto"/>
              <w:bottom w:val="single" w:sz="4" w:space="0" w:color="auto"/>
              <w:right w:val="single" w:sz="4" w:space="0" w:color="auto"/>
            </w:tcBorders>
            <w:vAlign w:val="center"/>
            <w:hideMark/>
          </w:tcPr>
          <w:p w:rsidR="00CD677D" w:rsidRPr="00CB5A83" w:rsidRDefault="00CD677D" w:rsidP="00CB1522">
            <w:pPr>
              <w:rPr>
                <w:iCs/>
                <w:sz w:val="18"/>
                <w:szCs w:val="18"/>
              </w:rPr>
            </w:pPr>
            <w:proofErr w:type="spellStart"/>
            <w:r w:rsidRPr="00CB5A83">
              <w:rPr>
                <w:iCs/>
                <w:sz w:val="18"/>
                <w:szCs w:val="18"/>
              </w:rPr>
              <w:t>Капітальний</w:t>
            </w:r>
            <w:proofErr w:type="spellEnd"/>
            <w:r w:rsidRPr="00CB5A83">
              <w:rPr>
                <w:iCs/>
                <w:sz w:val="18"/>
                <w:szCs w:val="18"/>
              </w:rPr>
              <w:t xml:space="preserve"> ремонт </w:t>
            </w:r>
            <w:proofErr w:type="spellStart"/>
            <w:proofErr w:type="gramStart"/>
            <w:r w:rsidRPr="00CB5A83">
              <w:rPr>
                <w:iCs/>
                <w:sz w:val="18"/>
                <w:szCs w:val="18"/>
              </w:rPr>
              <w:t>адм</w:t>
            </w:r>
            <w:proofErr w:type="gramEnd"/>
            <w:r w:rsidRPr="00CB5A83">
              <w:rPr>
                <w:iCs/>
                <w:sz w:val="18"/>
                <w:szCs w:val="18"/>
              </w:rPr>
              <w:t>іністративної</w:t>
            </w:r>
            <w:proofErr w:type="spellEnd"/>
            <w:r w:rsidRPr="00CB5A83">
              <w:rPr>
                <w:iCs/>
                <w:sz w:val="18"/>
                <w:szCs w:val="18"/>
              </w:rPr>
              <w:t xml:space="preserve"> </w:t>
            </w:r>
            <w:proofErr w:type="spellStart"/>
            <w:r w:rsidRPr="00CB5A83">
              <w:rPr>
                <w:iCs/>
                <w:sz w:val="18"/>
                <w:szCs w:val="18"/>
              </w:rPr>
              <w:t>будівлі</w:t>
            </w:r>
            <w:proofErr w:type="spellEnd"/>
            <w:r w:rsidRPr="00CB5A83">
              <w:rPr>
                <w:iCs/>
                <w:sz w:val="18"/>
                <w:szCs w:val="18"/>
              </w:rPr>
              <w:t xml:space="preserve"> </w:t>
            </w:r>
            <w:proofErr w:type="spellStart"/>
            <w:r w:rsidRPr="00CB5A83">
              <w:rPr>
                <w:iCs/>
                <w:sz w:val="18"/>
                <w:szCs w:val="18"/>
              </w:rPr>
              <w:t>комунальної</w:t>
            </w:r>
            <w:proofErr w:type="spellEnd"/>
            <w:r w:rsidRPr="00CB5A83">
              <w:rPr>
                <w:iCs/>
                <w:sz w:val="18"/>
                <w:szCs w:val="18"/>
              </w:rPr>
              <w:t xml:space="preserve"> </w:t>
            </w:r>
            <w:proofErr w:type="spellStart"/>
            <w:r w:rsidRPr="00CB5A83">
              <w:rPr>
                <w:iCs/>
                <w:sz w:val="18"/>
                <w:szCs w:val="18"/>
              </w:rPr>
              <w:t>власності</w:t>
            </w:r>
            <w:proofErr w:type="spellEnd"/>
            <w:r w:rsidRPr="00CB5A83">
              <w:rPr>
                <w:iCs/>
                <w:sz w:val="18"/>
                <w:szCs w:val="18"/>
              </w:rPr>
              <w:t xml:space="preserve"> </w:t>
            </w:r>
            <w:proofErr w:type="spellStart"/>
            <w:r w:rsidRPr="00CB5A83">
              <w:rPr>
                <w:iCs/>
                <w:sz w:val="18"/>
                <w:szCs w:val="18"/>
              </w:rPr>
              <w:t>Жеребківської</w:t>
            </w:r>
            <w:proofErr w:type="spellEnd"/>
            <w:r w:rsidRPr="00CB5A83">
              <w:rPr>
                <w:iCs/>
                <w:sz w:val="18"/>
                <w:szCs w:val="18"/>
              </w:rPr>
              <w:t xml:space="preserve"> </w:t>
            </w:r>
            <w:proofErr w:type="spellStart"/>
            <w:r w:rsidRPr="00CB5A83">
              <w:rPr>
                <w:iCs/>
                <w:sz w:val="18"/>
                <w:szCs w:val="18"/>
              </w:rPr>
              <w:t>сільської</w:t>
            </w:r>
            <w:proofErr w:type="spellEnd"/>
            <w:r w:rsidRPr="00CB5A83">
              <w:rPr>
                <w:iCs/>
                <w:sz w:val="18"/>
                <w:szCs w:val="18"/>
              </w:rPr>
              <w:t xml:space="preserve"> ради по </w:t>
            </w:r>
            <w:proofErr w:type="spellStart"/>
            <w:r w:rsidRPr="00CB5A83">
              <w:rPr>
                <w:iCs/>
                <w:sz w:val="18"/>
                <w:szCs w:val="18"/>
              </w:rPr>
              <w:t>вул</w:t>
            </w:r>
            <w:proofErr w:type="spellEnd"/>
            <w:r w:rsidRPr="00CB5A83">
              <w:rPr>
                <w:iCs/>
                <w:sz w:val="18"/>
                <w:szCs w:val="18"/>
              </w:rPr>
              <w:t xml:space="preserve">. </w:t>
            </w:r>
            <w:proofErr w:type="spellStart"/>
            <w:r w:rsidRPr="00CB5A83">
              <w:rPr>
                <w:iCs/>
                <w:sz w:val="18"/>
                <w:szCs w:val="18"/>
              </w:rPr>
              <w:t>Привокзальної</w:t>
            </w:r>
            <w:proofErr w:type="spellEnd"/>
            <w:r w:rsidRPr="00CB5A83">
              <w:rPr>
                <w:iCs/>
                <w:sz w:val="18"/>
                <w:szCs w:val="18"/>
              </w:rPr>
              <w:t xml:space="preserve">, 7. с. </w:t>
            </w:r>
            <w:proofErr w:type="spellStart"/>
            <w:r w:rsidRPr="00CB5A83">
              <w:rPr>
                <w:iCs/>
                <w:sz w:val="18"/>
                <w:szCs w:val="18"/>
              </w:rPr>
              <w:t>Жеребково</w:t>
            </w:r>
            <w:proofErr w:type="spellEnd"/>
            <w:r w:rsidRPr="00CB5A83">
              <w:rPr>
                <w:iCs/>
                <w:sz w:val="18"/>
                <w:szCs w:val="18"/>
              </w:rPr>
              <w:t xml:space="preserve"> Ананьївського району </w:t>
            </w:r>
            <w:proofErr w:type="spellStart"/>
            <w:r w:rsidRPr="00CB5A83">
              <w:rPr>
                <w:iCs/>
                <w:sz w:val="18"/>
                <w:szCs w:val="18"/>
              </w:rPr>
              <w:t>Одеської</w:t>
            </w:r>
            <w:proofErr w:type="spellEnd"/>
            <w:r w:rsidRPr="00CB5A83">
              <w:rPr>
                <w:iCs/>
                <w:sz w:val="18"/>
                <w:szCs w:val="18"/>
              </w:rPr>
              <w:t xml:space="preserve"> </w:t>
            </w:r>
            <w:proofErr w:type="spellStart"/>
            <w:r w:rsidRPr="00CB5A83">
              <w:rPr>
                <w:iCs/>
                <w:sz w:val="18"/>
                <w:szCs w:val="18"/>
              </w:rPr>
              <w:t>області</w:t>
            </w:r>
            <w:proofErr w:type="spellEnd"/>
            <w:r w:rsidRPr="00CB5A83">
              <w:rPr>
                <w:iCs/>
                <w:sz w:val="18"/>
                <w:szCs w:val="18"/>
              </w:rPr>
              <w:br w:type="page"/>
            </w:r>
          </w:p>
        </w:tc>
        <w:tc>
          <w:tcPr>
            <w:tcW w:w="1682"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496000</w:t>
            </w:r>
          </w:p>
        </w:tc>
        <w:tc>
          <w:tcPr>
            <w:tcW w:w="160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496000</w:t>
            </w:r>
          </w:p>
        </w:tc>
        <w:tc>
          <w:tcPr>
            <w:tcW w:w="232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proofErr w:type="spellStart"/>
            <w:r w:rsidRPr="00CD677D">
              <w:rPr>
                <w:sz w:val="18"/>
                <w:szCs w:val="18"/>
              </w:rPr>
              <w:t>обласний</w:t>
            </w:r>
            <w:proofErr w:type="spellEnd"/>
          </w:p>
        </w:tc>
      </w:tr>
      <w:tr w:rsidR="00CD677D" w:rsidRPr="00CD677D" w:rsidTr="00CD677D">
        <w:trPr>
          <w:trHeight w:val="1260"/>
        </w:trPr>
        <w:tc>
          <w:tcPr>
            <w:tcW w:w="3860" w:type="dxa"/>
            <w:tcBorders>
              <w:top w:val="nil"/>
              <w:left w:val="single" w:sz="4" w:space="0" w:color="auto"/>
              <w:bottom w:val="single" w:sz="4" w:space="0" w:color="auto"/>
              <w:right w:val="single" w:sz="4" w:space="0" w:color="auto"/>
            </w:tcBorders>
            <w:vAlign w:val="center"/>
            <w:hideMark/>
          </w:tcPr>
          <w:p w:rsidR="00CD677D" w:rsidRPr="00CB5A83" w:rsidRDefault="00CD677D" w:rsidP="00CB1522">
            <w:pPr>
              <w:rPr>
                <w:iCs/>
                <w:color w:val="000000"/>
                <w:sz w:val="18"/>
                <w:szCs w:val="18"/>
              </w:rPr>
            </w:pPr>
            <w:proofErr w:type="spellStart"/>
            <w:r w:rsidRPr="00CB5A83">
              <w:rPr>
                <w:iCs/>
                <w:color w:val="000000"/>
                <w:sz w:val="18"/>
                <w:szCs w:val="18"/>
              </w:rPr>
              <w:t>Капітальний</w:t>
            </w:r>
            <w:proofErr w:type="spellEnd"/>
            <w:r w:rsidRPr="00CB5A83">
              <w:rPr>
                <w:iCs/>
                <w:color w:val="000000"/>
                <w:sz w:val="18"/>
                <w:szCs w:val="18"/>
              </w:rPr>
              <w:t xml:space="preserve"> ремонт </w:t>
            </w:r>
            <w:proofErr w:type="spellStart"/>
            <w:r w:rsidRPr="00CB5A83">
              <w:rPr>
                <w:iCs/>
                <w:color w:val="000000"/>
                <w:sz w:val="18"/>
                <w:szCs w:val="18"/>
              </w:rPr>
              <w:t>приміщень</w:t>
            </w:r>
            <w:proofErr w:type="spellEnd"/>
            <w:r w:rsidRPr="00CB5A83">
              <w:rPr>
                <w:iCs/>
                <w:color w:val="000000"/>
                <w:sz w:val="18"/>
                <w:szCs w:val="18"/>
              </w:rPr>
              <w:t xml:space="preserve"> </w:t>
            </w:r>
            <w:proofErr w:type="spellStart"/>
            <w:r w:rsidRPr="00CB5A83">
              <w:rPr>
                <w:iCs/>
                <w:color w:val="000000"/>
                <w:sz w:val="18"/>
                <w:szCs w:val="18"/>
              </w:rPr>
              <w:t>їдальні</w:t>
            </w:r>
            <w:proofErr w:type="spellEnd"/>
            <w:r w:rsidRPr="00CB5A83">
              <w:rPr>
                <w:iCs/>
                <w:color w:val="000000"/>
                <w:sz w:val="18"/>
                <w:szCs w:val="18"/>
              </w:rPr>
              <w:t xml:space="preserve"> та </w:t>
            </w:r>
            <w:proofErr w:type="spellStart"/>
            <w:r w:rsidRPr="00CB5A83">
              <w:rPr>
                <w:iCs/>
                <w:color w:val="000000"/>
                <w:sz w:val="18"/>
                <w:szCs w:val="18"/>
              </w:rPr>
              <w:t>харчоблоку</w:t>
            </w:r>
            <w:proofErr w:type="spellEnd"/>
            <w:r w:rsidRPr="00CB5A83">
              <w:rPr>
                <w:iCs/>
                <w:color w:val="000000"/>
                <w:sz w:val="18"/>
                <w:szCs w:val="18"/>
              </w:rPr>
              <w:t xml:space="preserve"> </w:t>
            </w:r>
            <w:proofErr w:type="spellStart"/>
            <w:r w:rsidRPr="00CB5A83">
              <w:rPr>
                <w:iCs/>
                <w:color w:val="000000"/>
                <w:sz w:val="18"/>
                <w:szCs w:val="18"/>
              </w:rPr>
              <w:t>комунальної</w:t>
            </w:r>
            <w:proofErr w:type="spellEnd"/>
            <w:r w:rsidRPr="00CB5A83">
              <w:rPr>
                <w:iCs/>
                <w:color w:val="000000"/>
                <w:sz w:val="18"/>
                <w:szCs w:val="18"/>
              </w:rPr>
              <w:t xml:space="preserve"> установи "Ананьївський </w:t>
            </w:r>
            <w:proofErr w:type="spellStart"/>
            <w:r w:rsidRPr="00CB5A83">
              <w:rPr>
                <w:iCs/>
                <w:color w:val="000000"/>
                <w:sz w:val="18"/>
                <w:szCs w:val="18"/>
              </w:rPr>
              <w:t>ліцей</w:t>
            </w:r>
            <w:proofErr w:type="spellEnd"/>
            <w:r w:rsidRPr="00CB5A83">
              <w:rPr>
                <w:iCs/>
                <w:color w:val="000000"/>
                <w:sz w:val="18"/>
                <w:szCs w:val="18"/>
              </w:rPr>
              <w:t xml:space="preserve"> №2 Ананьївської </w:t>
            </w:r>
            <w:proofErr w:type="spellStart"/>
            <w:r w:rsidRPr="00CB5A83">
              <w:rPr>
                <w:iCs/>
                <w:color w:val="000000"/>
                <w:sz w:val="18"/>
                <w:szCs w:val="18"/>
              </w:rPr>
              <w:t>міської</w:t>
            </w:r>
            <w:proofErr w:type="spellEnd"/>
            <w:r w:rsidRPr="00CB5A83">
              <w:rPr>
                <w:iCs/>
                <w:color w:val="000000"/>
                <w:sz w:val="18"/>
                <w:szCs w:val="18"/>
              </w:rPr>
              <w:t xml:space="preserve"> ради" за </w:t>
            </w:r>
            <w:proofErr w:type="spellStart"/>
            <w:r w:rsidRPr="00CB5A83">
              <w:rPr>
                <w:iCs/>
                <w:color w:val="000000"/>
                <w:sz w:val="18"/>
                <w:szCs w:val="18"/>
              </w:rPr>
              <w:t>адресою</w:t>
            </w:r>
            <w:proofErr w:type="spellEnd"/>
            <w:proofErr w:type="gramStart"/>
            <w:r w:rsidRPr="00CB5A83">
              <w:rPr>
                <w:iCs/>
                <w:color w:val="000000"/>
                <w:sz w:val="18"/>
                <w:szCs w:val="18"/>
              </w:rPr>
              <w:t xml:space="preserve"> :</w:t>
            </w:r>
            <w:proofErr w:type="gramEnd"/>
            <w:r w:rsidRPr="00CB5A83">
              <w:rPr>
                <w:iCs/>
                <w:color w:val="000000"/>
                <w:sz w:val="18"/>
                <w:szCs w:val="18"/>
              </w:rPr>
              <w:t xml:space="preserve"> </w:t>
            </w:r>
            <w:proofErr w:type="spellStart"/>
            <w:r w:rsidRPr="00CB5A83">
              <w:rPr>
                <w:iCs/>
                <w:color w:val="000000"/>
                <w:sz w:val="18"/>
                <w:szCs w:val="18"/>
              </w:rPr>
              <w:t>Одеська</w:t>
            </w:r>
            <w:proofErr w:type="spellEnd"/>
            <w:r w:rsidRPr="00CB5A83">
              <w:rPr>
                <w:iCs/>
                <w:color w:val="000000"/>
                <w:sz w:val="18"/>
                <w:szCs w:val="18"/>
              </w:rPr>
              <w:t xml:space="preserve"> область, </w:t>
            </w:r>
            <w:proofErr w:type="spellStart"/>
            <w:r w:rsidRPr="00CB5A83">
              <w:rPr>
                <w:iCs/>
                <w:color w:val="000000"/>
                <w:sz w:val="18"/>
                <w:szCs w:val="18"/>
              </w:rPr>
              <w:t>м</w:t>
            </w:r>
            <w:proofErr w:type="gramStart"/>
            <w:r w:rsidRPr="00CB5A83">
              <w:rPr>
                <w:iCs/>
                <w:color w:val="000000"/>
                <w:sz w:val="18"/>
                <w:szCs w:val="18"/>
              </w:rPr>
              <w:t>.А</w:t>
            </w:r>
            <w:proofErr w:type="gramEnd"/>
            <w:r w:rsidRPr="00CB5A83">
              <w:rPr>
                <w:iCs/>
                <w:color w:val="000000"/>
                <w:sz w:val="18"/>
                <w:szCs w:val="18"/>
              </w:rPr>
              <w:t>наньїв</w:t>
            </w:r>
            <w:proofErr w:type="spellEnd"/>
            <w:r w:rsidRPr="00CB5A83">
              <w:rPr>
                <w:iCs/>
                <w:color w:val="000000"/>
                <w:sz w:val="18"/>
                <w:szCs w:val="18"/>
              </w:rPr>
              <w:t xml:space="preserve">, </w:t>
            </w:r>
            <w:proofErr w:type="spellStart"/>
            <w:r w:rsidRPr="00CB5A83">
              <w:rPr>
                <w:iCs/>
                <w:color w:val="000000"/>
                <w:sz w:val="18"/>
                <w:szCs w:val="18"/>
              </w:rPr>
              <w:t>вул</w:t>
            </w:r>
            <w:proofErr w:type="spellEnd"/>
            <w:r w:rsidRPr="00CB5A83">
              <w:rPr>
                <w:iCs/>
                <w:color w:val="000000"/>
                <w:sz w:val="18"/>
                <w:szCs w:val="18"/>
              </w:rPr>
              <w:t xml:space="preserve">. </w:t>
            </w:r>
            <w:proofErr w:type="spellStart"/>
            <w:r w:rsidRPr="00CB5A83">
              <w:rPr>
                <w:iCs/>
                <w:color w:val="000000"/>
                <w:sz w:val="18"/>
                <w:szCs w:val="18"/>
              </w:rPr>
              <w:t>Пушкіна</w:t>
            </w:r>
            <w:proofErr w:type="spellEnd"/>
            <w:r w:rsidRPr="00CB5A83">
              <w:rPr>
                <w:iCs/>
                <w:color w:val="000000"/>
                <w:sz w:val="18"/>
                <w:szCs w:val="18"/>
              </w:rPr>
              <w:t>, 52</w:t>
            </w:r>
          </w:p>
        </w:tc>
        <w:tc>
          <w:tcPr>
            <w:tcW w:w="1682"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1180000</w:t>
            </w:r>
          </w:p>
        </w:tc>
        <w:tc>
          <w:tcPr>
            <w:tcW w:w="160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1139206,42</w:t>
            </w:r>
          </w:p>
        </w:tc>
        <w:tc>
          <w:tcPr>
            <w:tcW w:w="232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proofErr w:type="spellStart"/>
            <w:r w:rsidRPr="00CD677D">
              <w:rPr>
                <w:sz w:val="18"/>
                <w:szCs w:val="18"/>
              </w:rPr>
              <w:t>обласний</w:t>
            </w:r>
            <w:proofErr w:type="spellEnd"/>
          </w:p>
        </w:tc>
      </w:tr>
      <w:tr w:rsidR="00CD677D" w:rsidRPr="00CD677D" w:rsidTr="00CD677D">
        <w:trPr>
          <w:trHeight w:val="1080"/>
        </w:trPr>
        <w:tc>
          <w:tcPr>
            <w:tcW w:w="3860" w:type="dxa"/>
            <w:tcBorders>
              <w:top w:val="nil"/>
              <w:left w:val="single" w:sz="4" w:space="0" w:color="auto"/>
              <w:bottom w:val="single" w:sz="4" w:space="0" w:color="auto"/>
              <w:right w:val="single" w:sz="4" w:space="0" w:color="auto"/>
            </w:tcBorders>
            <w:vAlign w:val="center"/>
            <w:hideMark/>
          </w:tcPr>
          <w:p w:rsidR="00CD677D" w:rsidRPr="00CB5A83" w:rsidRDefault="00CD677D" w:rsidP="00CB1522">
            <w:pPr>
              <w:rPr>
                <w:iCs/>
                <w:color w:val="000000"/>
                <w:sz w:val="18"/>
                <w:szCs w:val="18"/>
              </w:rPr>
            </w:pPr>
            <w:proofErr w:type="spellStart"/>
            <w:r w:rsidRPr="00CB5A83">
              <w:rPr>
                <w:iCs/>
                <w:color w:val="000000"/>
                <w:sz w:val="18"/>
                <w:szCs w:val="18"/>
              </w:rPr>
              <w:t>Капітальний</w:t>
            </w:r>
            <w:proofErr w:type="spellEnd"/>
            <w:r w:rsidRPr="00CB5A83">
              <w:rPr>
                <w:iCs/>
                <w:color w:val="000000"/>
                <w:sz w:val="18"/>
                <w:szCs w:val="18"/>
              </w:rPr>
              <w:t xml:space="preserve"> ремонт </w:t>
            </w:r>
            <w:proofErr w:type="spellStart"/>
            <w:r w:rsidRPr="00CB5A83">
              <w:rPr>
                <w:iCs/>
                <w:color w:val="000000"/>
                <w:sz w:val="18"/>
                <w:szCs w:val="18"/>
              </w:rPr>
              <w:t>артсвердловини</w:t>
            </w:r>
            <w:proofErr w:type="spellEnd"/>
            <w:r w:rsidRPr="00CB5A83">
              <w:rPr>
                <w:iCs/>
                <w:color w:val="000000"/>
                <w:sz w:val="18"/>
                <w:szCs w:val="18"/>
              </w:rPr>
              <w:t xml:space="preserve"> та </w:t>
            </w:r>
            <w:proofErr w:type="spellStart"/>
            <w:r w:rsidRPr="00CB5A83">
              <w:rPr>
                <w:iCs/>
                <w:color w:val="000000"/>
                <w:sz w:val="18"/>
                <w:szCs w:val="18"/>
              </w:rPr>
              <w:t>водонапірної</w:t>
            </w:r>
            <w:proofErr w:type="spellEnd"/>
            <w:r w:rsidRPr="00CB5A83">
              <w:rPr>
                <w:iCs/>
                <w:color w:val="000000"/>
                <w:sz w:val="18"/>
                <w:szCs w:val="18"/>
              </w:rPr>
              <w:t xml:space="preserve"> </w:t>
            </w:r>
            <w:proofErr w:type="spellStart"/>
            <w:r w:rsidRPr="00CB5A83">
              <w:rPr>
                <w:iCs/>
                <w:color w:val="000000"/>
                <w:sz w:val="18"/>
                <w:szCs w:val="18"/>
              </w:rPr>
              <w:t>башти</w:t>
            </w:r>
            <w:proofErr w:type="spellEnd"/>
            <w:r w:rsidRPr="00CB5A83">
              <w:rPr>
                <w:iCs/>
                <w:color w:val="000000"/>
                <w:sz w:val="18"/>
                <w:szCs w:val="18"/>
              </w:rPr>
              <w:t xml:space="preserve"> Ананьївської </w:t>
            </w:r>
            <w:proofErr w:type="spellStart"/>
            <w:r w:rsidRPr="00CB5A83">
              <w:rPr>
                <w:iCs/>
                <w:color w:val="000000"/>
                <w:sz w:val="18"/>
                <w:szCs w:val="18"/>
              </w:rPr>
              <w:t>міської</w:t>
            </w:r>
            <w:proofErr w:type="spellEnd"/>
            <w:r w:rsidRPr="00CB5A83">
              <w:rPr>
                <w:iCs/>
                <w:color w:val="000000"/>
                <w:sz w:val="18"/>
                <w:szCs w:val="18"/>
              </w:rPr>
              <w:t xml:space="preserve"> ради за </w:t>
            </w:r>
            <w:proofErr w:type="spellStart"/>
            <w:r w:rsidRPr="00CB5A83">
              <w:rPr>
                <w:iCs/>
                <w:color w:val="000000"/>
                <w:sz w:val="18"/>
                <w:szCs w:val="18"/>
              </w:rPr>
              <w:t>адресою</w:t>
            </w:r>
            <w:proofErr w:type="spellEnd"/>
            <w:r w:rsidRPr="00CB5A83">
              <w:rPr>
                <w:iCs/>
                <w:color w:val="000000"/>
                <w:sz w:val="18"/>
                <w:szCs w:val="18"/>
              </w:rPr>
              <w:t xml:space="preserve">: </w:t>
            </w:r>
            <w:proofErr w:type="spellStart"/>
            <w:r w:rsidRPr="00CB5A83">
              <w:rPr>
                <w:iCs/>
                <w:color w:val="000000"/>
                <w:sz w:val="18"/>
                <w:szCs w:val="18"/>
              </w:rPr>
              <w:t>с</w:t>
            </w:r>
            <w:proofErr w:type="gramStart"/>
            <w:r w:rsidRPr="00CB5A83">
              <w:rPr>
                <w:iCs/>
                <w:color w:val="000000"/>
                <w:sz w:val="18"/>
                <w:szCs w:val="18"/>
              </w:rPr>
              <w:t>.Ж</w:t>
            </w:r>
            <w:proofErr w:type="gramEnd"/>
            <w:r w:rsidRPr="00CB5A83">
              <w:rPr>
                <w:iCs/>
                <w:color w:val="000000"/>
                <w:sz w:val="18"/>
                <w:szCs w:val="18"/>
              </w:rPr>
              <w:t>еребково</w:t>
            </w:r>
            <w:proofErr w:type="spellEnd"/>
            <w:r w:rsidRPr="00CB5A83">
              <w:rPr>
                <w:iCs/>
                <w:color w:val="000000"/>
                <w:sz w:val="18"/>
                <w:szCs w:val="18"/>
              </w:rPr>
              <w:t xml:space="preserve">, </w:t>
            </w:r>
            <w:proofErr w:type="spellStart"/>
            <w:r w:rsidRPr="00CB5A83">
              <w:rPr>
                <w:iCs/>
                <w:color w:val="000000"/>
                <w:sz w:val="18"/>
                <w:szCs w:val="18"/>
              </w:rPr>
              <w:t>Подільського</w:t>
            </w:r>
            <w:proofErr w:type="spellEnd"/>
            <w:r w:rsidRPr="00CB5A83">
              <w:rPr>
                <w:iCs/>
                <w:color w:val="000000"/>
                <w:sz w:val="18"/>
                <w:szCs w:val="18"/>
              </w:rPr>
              <w:t xml:space="preserve"> району, </w:t>
            </w:r>
            <w:proofErr w:type="spellStart"/>
            <w:r w:rsidRPr="00CB5A83">
              <w:rPr>
                <w:iCs/>
                <w:color w:val="000000"/>
                <w:sz w:val="18"/>
                <w:szCs w:val="18"/>
              </w:rPr>
              <w:t>Одеської</w:t>
            </w:r>
            <w:proofErr w:type="spellEnd"/>
            <w:r w:rsidRPr="00CB5A83">
              <w:rPr>
                <w:iCs/>
                <w:color w:val="000000"/>
                <w:sz w:val="18"/>
                <w:szCs w:val="18"/>
              </w:rPr>
              <w:t xml:space="preserve"> </w:t>
            </w:r>
            <w:proofErr w:type="spellStart"/>
            <w:r w:rsidRPr="00CB5A83">
              <w:rPr>
                <w:iCs/>
                <w:color w:val="000000"/>
                <w:sz w:val="18"/>
                <w:szCs w:val="18"/>
              </w:rPr>
              <w:t>області</w:t>
            </w:r>
            <w:proofErr w:type="spellEnd"/>
          </w:p>
        </w:tc>
        <w:tc>
          <w:tcPr>
            <w:tcW w:w="1682"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2130000</w:t>
            </w:r>
          </w:p>
        </w:tc>
        <w:tc>
          <w:tcPr>
            <w:tcW w:w="160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2130000</w:t>
            </w:r>
          </w:p>
        </w:tc>
        <w:tc>
          <w:tcPr>
            <w:tcW w:w="232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proofErr w:type="spellStart"/>
            <w:r w:rsidRPr="00CD677D">
              <w:rPr>
                <w:sz w:val="18"/>
                <w:szCs w:val="18"/>
              </w:rPr>
              <w:t>обласний</w:t>
            </w:r>
            <w:proofErr w:type="spellEnd"/>
          </w:p>
        </w:tc>
      </w:tr>
      <w:tr w:rsidR="00CD677D" w:rsidRPr="00CD677D" w:rsidTr="00CD677D">
        <w:trPr>
          <w:trHeight w:val="960"/>
        </w:trPr>
        <w:tc>
          <w:tcPr>
            <w:tcW w:w="3860" w:type="dxa"/>
            <w:tcBorders>
              <w:top w:val="nil"/>
              <w:left w:val="single" w:sz="4" w:space="0" w:color="auto"/>
              <w:bottom w:val="single" w:sz="4" w:space="0" w:color="auto"/>
              <w:right w:val="single" w:sz="4" w:space="0" w:color="auto"/>
            </w:tcBorders>
            <w:vAlign w:val="center"/>
            <w:hideMark/>
          </w:tcPr>
          <w:p w:rsidR="00CD677D" w:rsidRPr="00CB5A83" w:rsidRDefault="00CD677D" w:rsidP="00CB1522">
            <w:pPr>
              <w:rPr>
                <w:iCs/>
                <w:color w:val="000000"/>
                <w:sz w:val="18"/>
                <w:szCs w:val="18"/>
              </w:rPr>
            </w:pPr>
            <w:proofErr w:type="spellStart"/>
            <w:r w:rsidRPr="00CB5A83">
              <w:rPr>
                <w:iCs/>
                <w:color w:val="000000"/>
                <w:sz w:val="18"/>
                <w:szCs w:val="18"/>
              </w:rPr>
              <w:t>Капітальний</w:t>
            </w:r>
            <w:proofErr w:type="spellEnd"/>
            <w:r w:rsidRPr="00CB5A83">
              <w:rPr>
                <w:iCs/>
                <w:color w:val="000000"/>
                <w:sz w:val="18"/>
                <w:szCs w:val="18"/>
              </w:rPr>
              <w:t xml:space="preserve"> ремонт </w:t>
            </w:r>
            <w:proofErr w:type="spellStart"/>
            <w:r w:rsidRPr="00CB5A83">
              <w:rPr>
                <w:iCs/>
                <w:color w:val="000000"/>
                <w:sz w:val="18"/>
                <w:szCs w:val="18"/>
              </w:rPr>
              <w:t>мережі</w:t>
            </w:r>
            <w:proofErr w:type="spellEnd"/>
            <w:r w:rsidRPr="00CB5A83">
              <w:rPr>
                <w:iCs/>
                <w:color w:val="000000"/>
                <w:sz w:val="18"/>
                <w:szCs w:val="18"/>
              </w:rPr>
              <w:t xml:space="preserve"> </w:t>
            </w:r>
            <w:proofErr w:type="spellStart"/>
            <w:r w:rsidRPr="00CB5A83">
              <w:rPr>
                <w:iCs/>
                <w:color w:val="000000"/>
                <w:sz w:val="18"/>
                <w:szCs w:val="18"/>
              </w:rPr>
              <w:t>вуличного</w:t>
            </w:r>
            <w:proofErr w:type="spellEnd"/>
            <w:r w:rsidRPr="00CB5A83">
              <w:rPr>
                <w:iCs/>
                <w:color w:val="000000"/>
                <w:sz w:val="18"/>
                <w:szCs w:val="18"/>
              </w:rPr>
              <w:t xml:space="preserve"> </w:t>
            </w:r>
            <w:proofErr w:type="spellStart"/>
            <w:r w:rsidRPr="00CB5A83">
              <w:rPr>
                <w:iCs/>
                <w:color w:val="000000"/>
                <w:sz w:val="18"/>
                <w:szCs w:val="18"/>
              </w:rPr>
              <w:t>освітлення</w:t>
            </w:r>
            <w:proofErr w:type="spellEnd"/>
            <w:r w:rsidRPr="00CB5A83">
              <w:rPr>
                <w:iCs/>
                <w:color w:val="000000"/>
                <w:sz w:val="18"/>
                <w:szCs w:val="18"/>
              </w:rPr>
              <w:t xml:space="preserve"> </w:t>
            </w:r>
            <w:proofErr w:type="spellStart"/>
            <w:r w:rsidRPr="00CB5A83">
              <w:rPr>
                <w:iCs/>
                <w:color w:val="000000"/>
                <w:sz w:val="18"/>
                <w:szCs w:val="18"/>
              </w:rPr>
              <w:t>с</w:t>
            </w:r>
            <w:proofErr w:type="gramStart"/>
            <w:r w:rsidRPr="00CB5A83">
              <w:rPr>
                <w:iCs/>
                <w:color w:val="000000"/>
                <w:sz w:val="18"/>
                <w:szCs w:val="18"/>
              </w:rPr>
              <w:t>.Ш</w:t>
            </w:r>
            <w:proofErr w:type="gramEnd"/>
            <w:r w:rsidRPr="00CB5A83">
              <w:rPr>
                <w:iCs/>
                <w:color w:val="000000"/>
                <w:sz w:val="18"/>
                <w:szCs w:val="18"/>
              </w:rPr>
              <w:t>имково</w:t>
            </w:r>
            <w:proofErr w:type="spellEnd"/>
            <w:r w:rsidRPr="00CB5A83">
              <w:rPr>
                <w:iCs/>
                <w:color w:val="000000"/>
                <w:sz w:val="18"/>
                <w:szCs w:val="18"/>
              </w:rPr>
              <w:t xml:space="preserve">, </w:t>
            </w:r>
            <w:proofErr w:type="spellStart"/>
            <w:r w:rsidRPr="00CB5A83">
              <w:rPr>
                <w:iCs/>
                <w:color w:val="000000"/>
                <w:sz w:val="18"/>
                <w:szCs w:val="18"/>
              </w:rPr>
              <w:t>Подільського</w:t>
            </w:r>
            <w:proofErr w:type="spellEnd"/>
            <w:r w:rsidRPr="00CB5A83">
              <w:rPr>
                <w:iCs/>
                <w:color w:val="000000"/>
                <w:sz w:val="18"/>
                <w:szCs w:val="18"/>
              </w:rPr>
              <w:t xml:space="preserve"> району, </w:t>
            </w:r>
            <w:proofErr w:type="spellStart"/>
            <w:r w:rsidRPr="00CB5A83">
              <w:rPr>
                <w:iCs/>
                <w:color w:val="000000"/>
                <w:sz w:val="18"/>
                <w:szCs w:val="18"/>
              </w:rPr>
              <w:t>Одеської</w:t>
            </w:r>
            <w:proofErr w:type="spellEnd"/>
            <w:r w:rsidRPr="00CB5A83">
              <w:rPr>
                <w:iCs/>
                <w:color w:val="000000"/>
                <w:sz w:val="18"/>
                <w:szCs w:val="18"/>
              </w:rPr>
              <w:t xml:space="preserve"> </w:t>
            </w:r>
            <w:proofErr w:type="spellStart"/>
            <w:r w:rsidRPr="00CB5A83">
              <w:rPr>
                <w:iCs/>
                <w:color w:val="000000"/>
                <w:sz w:val="18"/>
                <w:szCs w:val="18"/>
              </w:rPr>
              <w:t>області</w:t>
            </w:r>
            <w:proofErr w:type="spellEnd"/>
            <w:r w:rsidRPr="00CB5A83">
              <w:rPr>
                <w:iCs/>
                <w:color w:val="000000"/>
                <w:sz w:val="18"/>
                <w:szCs w:val="18"/>
              </w:rPr>
              <w:t xml:space="preserve"> ТП-117 </w:t>
            </w:r>
          </w:p>
        </w:tc>
        <w:tc>
          <w:tcPr>
            <w:tcW w:w="1682"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170000</w:t>
            </w:r>
          </w:p>
        </w:tc>
        <w:tc>
          <w:tcPr>
            <w:tcW w:w="160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158000</w:t>
            </w:r>
          </w:p>
        </w:tc>
        <w:tc>
          <w:tcPr>
            <w:tcW w:w="232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proofErr w:type="spellStart"/>
            <w:r w:rsidRPr="00CD677D">
              <w:rPr>
                <w:sz w:val="18"/>
                <w:szCs w:val="18"/>
              </w:rPr>
              <w:t>обласний</w:t>
            </w:r>
            <w:proofErr w:type="spellEnd"/>
          </w:p>
        </w:tc>
      </w:tr>
      <w:tr w:rsidR="00CD677D" w:rsidRPr="00CD677D" w:rsidTr="00CD677D">
        <w:trPr>
          <w:trHeight w:val="675"/>
        </w:trPr>
        <w:tc>
          <w:tcPr>
            <w:tcW w:w="3860" w:type="dxa"/>
            <w:tcBorders>
              <w:top w:val="nil"/>
              <w:left w:val="single" w:sz="4" w:space="0" w:color="auto"/>
              <w:bottom w:val="single" w:sz="4" w:space="0" w:color="auto"/>
              <w:right w:val="single" w:sz="4" w:space="0" w:color="auto"/>
            </w:tcBorders>
            <w:vAlign w:val="center"/>
            <w:hideMark/>
          </w:tcPr>
          <w:p w:rsidR="00CD677D" w:rsidRPr="00CB5A83" w:rsidRDefault="00CD677D" w:rsidP="00CB1522">
            <w:pPr>
              <w:rPr>
                <w:iCs/>
                <w:color w:val="000000"/>
                <w:sz w:val="18"/>
                <w:szCs w:val="18"/>
              </w:rPr>
            </w:pPr>
            <w:proofErr w:type="spellStart"/>
            <w:r w:rsidRPr="00CB5A83">
              <w:rPr>
                <w:iCs/>
                <w:color w:val="000000"/>
                <w:sz w:val="18"/>
                <w:szCs w:val="18"/>
              </w:rPr>
              <w:t>Капітальний</w:t>
            </w:r>
            <w:proofErr w:type="spellEnd"/>
            <w:r w:rsidRPr="00CB5A83">
              <w:rPr>
                <w:iCs/>
                <w:color w:val="000000"/>
                <w:sz w:val="18"/>
                <w:szCs w:val="18"/>
              </w:rPr>
              <w:t xml:space="preserve"> ремонт мереж </w:t>
            </w:r>
            <w:proofErr w:type="spellStart"/>
            <w:r w:rsidRPr="00CB5A83">
              <w:rPr>
                <w:iCs/>
                <w:color w:val="000000"/>
                <w:sz w:val="18"/>
                <w:szCs w:val="18"/>
              </w:rPr>
              <w:t>вуличного</w:t>
            </w:r>
            <w:proofErr w:type="spellEnd"/>
            <w:r w:rsidRPr="00CB5A83">
              <w:rPr>
                <w:iCs/>
                <w:color w:val="000000"/>
                <w:sz w:val="18"/>
                <w:szCs w:val="18"/>
              </w:rPr>
              <w:t xml:space="preserve"> </w:t>
            </w:r>
            <w:proofErr w:type="spellStart"/>
            <w:r w:rsidRPr="00CB5A83">
              <w:rPr>
                <w:iCs/>
                <w:color w:val="000000"/>
                <w:sz w:val="18"/>
                <w:szCs w:val="18"/>
              </w:rPr>
              <w:t>освітлення</w:t>
            </w:r>
            <w:proofErr w:type="spellEnd"/>
            <w:r w:rsidRPr="00CB5A83">
              <w:rPr>
                <w:iCs/>
                <w:color w:val="000000"/>
                <w:sz w:val="18"/>
                <w:szCs w:val="18"/>
              </w:rPr>
              <w:t xml:space="preserve"> </w:t>
            </w:r>
            <w:proofErr w:type="spellStart"/>
            <w:r w:rsidRPr="00CB5A83">
              <w:rPr>
                <w:iCs/>
                <w:color w:val="000000"/>
                <w:sz w:val="18"/>
                <w:szCs w:val="18"/>
              </w:rPr>
              <w:t>с</w:t>
            </w:r>
            <w:proofErr w:type="gramStart"/>
            <w:r w:rsidRPr="00CB5A83">
              <w:rPr>
                <w:iCs/>
                <w:color w:val="000000"/>
                <w:sz w:val="18"/>
                <w:szCs w:val="18"/>
              </w:rPr>
              <w:t>.П</w:t>
            </w:r>
            <w:proofErr w:type="gramEnd"/>
            <w:r w:rsidRPr="00CB5A83">
              <w:rPr>
                <w:iCs/>
                <w:color w:val="000000"/>
                <w:sz w:val="18"/>
                <w:szCs w:val="18"/>
              </w:rPr>
              <w:t>асицели</w:t>
            </w:r>
            <w:proofErr w:type="spellEnd"/>
            <w:r w:rsidRPr="00CB5A83">
              <w:rPr>
                <w:iCs/>
                <w:color w:val="000000"/>
                <w:sz w:val="18"/>
                <w:szCs w:val="18"/>
              </w:rPr>
              <w:t xml:space="preserve">, </w:t>
            </w:r>
            <w:proofErr w:type="spellStart"/>
            <w:r w:rsidRPr="00CB5A83">
              <w:rPr>
                <w:iCs/>
                <w:color w:val="000000"/>
                <w:sz w:val="18"/>
                <w:szCs w:val="18"/>
              </w:rPr>
              <w:t>Подільського</w:t>
            </w:r>
            <w:proofErr w:type="spellEnd"/>
            <w:r w:rsidRPr="00CB5A83">
              <w:rPr>
                <w:iCs/>
                <w:color w:val="000000"/>
                <w:sz w:val="18"/>
                <w:szCs w:val="18"/>
              </w:rPr>
              <w:t xml:space="preserve"> району, </w:t>
            </w:r>
            <w:proofErr w:type="spellStart"/>
            <w:r w:rsidRPr="00CB5A83">
              <w:rPr>
                <w:iCs/>
                <w:color w:val="000000"/>
                <w:sz w:val="18"/>
                <w:szCs w:val="18"/>
              </w:rPr>
              <w:t>Одеської</w:t>
            </w:r>
            <w:proofErr w:type="spellEnd"/>
            <w:r w:rsidRPr="00CB5A83">
              <w:rPr>
                <w:iCs/>
                <w:color w:val="000000"/>
                <w:sz w:val="18"/>
                <w:szCs w:val="18"/>
              </w:rPr>
              <w:t xml:space="preserve"> </w:t>
            </w:r>
            <w:proofErr w:type="spellStart"/>
            <w:r w:rsidRPr="00CB5A83">
              <w:rPr>
                <w:iCs/>
                <w:color w:val="000000"/>
                <w:sz w:val="18"/>
                <w:szCs w:val="18"/>
              </w:rPr>
              <w:t>області</w:t>
            </w:r>
            <w:proofErr w:type="spellEnd"/>
            <w:r w:rsidRPr="00CB5A83">
              <w:rPr>
                <w:iCs/>
                <w:color w:val="000000"/>
                <w:sz w:val="18"/>
                <w:szCs w:val="18"/>
              </w:rPr>
              <w:t>, КТП 297, КТП 387</w:t>
            </w:r>
          </w:p>
        </w:tc>
        <w:tc>
          <w:tcPr>
            <w:tcW w:w="1682"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200000</w:t>
            </w:r>
          </w:p>
        </w:tc>
        <w:tc>
          <w:tcPr>
            <w:tcW w:w="160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200000</w:t>
            </w:r>
          </w:p>
        </w:tc>
        <w:tc>
          <w:tcPr>
            <w:tcW w:w="232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proofErr w:type="spellStart"/>
            <w:r w:rsidRPr="00CD677D">
              <w:rPr>
                <w:sz w:val="18"/>
                <w:szCs w:val="18"/>
              </w:rPr>
              <w:t>обласний</w:t>
            </w:r>
            <w:proofErr w:type="spellEnd"/>
          </w:p>
        </w:tc>
      </w:tr>
      <w:tr w:rsidR="00CD677D" w:rsidRPr="00CD677D" w:rsidTr="00CD677D">
        <w:trPr>
          <w:trHeight w:val="945"/>
        </w:trPr>
        <w:tc>
          <w:tcPr>
            <w:tcW w:w="3860" w:type="dxa"/>
            <w:tcBorders>
              <w:top w:val="nil"/>
              <w:left w:val="single" w:sz="4" w:space="0" w:color="auto"/>
              <w:bottom w:val="single" w:sz="4" w:space="0" w:color="auto"/>
              <w:right w:val="single" w:sz="4" w:space="0" w:color="auto"/>
            </w:tcBorders>
            <w:vAlign w:val="center"/>
            <w:hideMark/>
          </w:tcPr>
          <w:p w:rsidR="00CD677D" w:rsidRPr="00CB5A83" w:rsidRDefault="00CD677D" w:rsidP="00CB1522">
            <w:pPr>
              <w:rPr>
                <w:iCs/>
                <w:color w:val="000000"/>
                <w:sz w:val="18"/>
                <w:szCs w:val="18"/>
              </w:rPr>
            </w:pPr>
            <w:proofErr w:type="spellStart"/>
            <w:r w:rsidRPr="00CB5A83">
              <w:rPr>
                <w:iCs/>
                <w:color w:val="000000"/>
                <w:sz w:val="18"/>
                <w:szCs w:val="18"/>
              </w:rPr>
              <w:lastRenderedPageBreak/>
              <w:t>Капітальний</w:t>
            </w:r>
            <w:proofErr w:type="spellEnd"/>
            <w:r w:rsidRPr="00CB5A83">
              <w:rPr>
                <w:iCs/>
                <w:color w:val="000000"/>
                <w:sz w:val="18"/>
                <w:szCs w:val="18"/>
              </w:rPr>
              <w:t xml:space="preserve"> ремонт </w:t>
            </w:r>
            <w:proofErr w:type="spellStart"/>
            <w:r w:rsidRPr="00CB5A83">
              <w:rPr>
                <w:iCs/>
                <w:color w:val="000000"/>
                <w:sz w:val="18"/>
                <w:szCs w:val="18"/>
              </w:rPr>
              <w:t>мережі</w:t>
            </w:r>
            <w:proofErr w:type="spellEnd"/>
            <w:r w:rsidRPr="00CB5A83">
              <w:rPr>
                <w:iCs/>
                <w:color w:val="000000"/>
                <w:sz w:val="18"/>
                <w:szCs w:val="18"/>
              </w:rPr>
              <w:t xml:space="preserve"> </w:t>
            </w:r>
            <w:proofErr w:type="spellStart"/>
            <w:r w:rsidRPr="00CB5A83">
              <w:rPr>
                <w:iCs/>
                <w:color w:val="000000"/>
                <w:sz w:val="18"/>
                <w:szCs w:val="18"/>
              </w:rPr>
              <w:t>вуличного</w:t>
            </w:r>
            <w:proofErr w:type="spellEnd"/>
            <w:r w:rsidRPr="00CB5A83">
              <w:rPr>
                <w:iCs/>
                <w:color w:val="000000"/>
                <w:sz w:val="18"/>
                <w:szCs w:val="18"/>
              </w:rPr>
              <w:t xml:space="preserve"> </w:t>
            </w:r>
            <w:proofErr w:type="spellStart"/>
            <w:r w:rsidRPr="00CB5A83">
              <w:rPr>
                <w:iCs/>
                <w:color w:val="000000"/>
                <w:sz w:val="18"/>
                <w:szCs w:val="18"/>
              </w:rPr>
              <w:t>освітлення</w:t>
            </w:r>
            <w:proofErr w:type="spellEnd"/>
            <w:r w:rsidRPr="00CB5A83">
              <w:rPr>
                <w:iCs/>
                <w:color w:val="000000"/>
                <w:sz w:val="18"/>
                <w:szCs w:val="18"/>
              </w:rPr>
              <w:t xml:space="preserve"> </w:t>
            </w:r>
            <w:proofErr w:type="spellStart"/>
            <w:r w:rsidRPr="00CB5A83">
              <w:rPr>
                <w:iCs/>
                <w:color w:val="000000"/>
                <w:sz w:val="18"/>
                <w:szCs w:val="18"/>
              </w:rPr>
              <w:t>с</w:t>
            </w:r>
            <w:proofErr w:type="gramStart"/>
            <w:r w:rsidRPr="00CB5A83">
              <w:rPr>
                <w:iCs/>
                <w:color w:val="000000"/>
                <w:sz w:val="18"/>
                <w:szCs w:val="18"/>
              </w:rPr>
              <w:t>.Т</w:t>
            </w:r>
            <w:proofErr w:type="gramEnd"/>
            <w:r w:rsidRPr="00CB5A83">
              <w:rPr>
                <w:iCs/>
                <w:color w:val="000000"/>
                <w:sz w:val="18"/>
                <w:szCs w:val="18"/>
              </w:rPr>
              <w:t>очилово</w:t>
            </w:r>
            <w:proofErr w:type="spellEnd"/>
            <w:r w:rsidRPr="00CB5A83">
              <w:rPr>
                <w:iCs/>
                <w:color w:val="000000"/>
                <w:sz w:val="18"/>
                <w:szCs w:val="18"/>
              </w:rPr>
              <w:t xml:space="preserve">, </w:t>
            </w:r>
            <w:proofErr w:type="spellStart"/>
            <w:r w:rsidRPr="00CB5A83">
              <w:rPr>
                <w:iCs/>
                <w:color w:val="000000"/>
                <w:sz w:val="18"/>
                <w:szCs w:val="18"/>
              </w:rPr>
              <w:t>Подільського</w:t>
            </w:r>
            <w:proofErr w:type="spellEnd"/>
            <w:r w:rsidRPr="00CB5A83">
              <w:rPr>
                <w:iCs/>
                <w:color w:val="000000"/>
                <w:sz w:val="18"/>
                <w:szCs w:val="18"/>
              </w:rPr>
              <w:t xml:space="preserve"> району, </w:t>
            </w:r>
            <w:proofErr w:type="spellStart"/>
            <w:r w:rsidRPr="00CB5A83">
              <w:rPr>
                <w:iCs/>
                <w:color w:val="000000"/>
                <w:sz w:val="18"/>
                <w:szCs w:val="18"/>
              </w:rPr>
              <w:t>Одеської</w:t>
            </w:r>
            <w:proofErr w:type="spellEnd"/>
            <w:r w:rsidRPr="00CB5A83">
              <w:rPr>
                <w:iCs/>
                <w:color w:val="000000"/>
                <w:sz w:val="18"/>
                <w:szCs w:val="18"/>
              </w:rPr>
              <w:t xml:space="preserve"> </w:t>
            </w:r>
            <w:proofErr w:type="spellStart"/>
            <w:r w:rsidRPr="00CB5A83">
              <w:rPr>
                <w:iCs/>
                <w:color w:val="000000"/>
                <w:sz w:val="18"/>
                <w:szCs w:val="18"/>
              </w:rPr>
              <w:t>області</w:t>
            </w:r>
            <w:proofErr w:type="spellEnd"/>
            <w:r w:rsidRPr="00CB5A83">
              <w:rPr>
                <w:iCs/>
                <w:color w:val="000000"/>
                <w:sz w:val="18"/>
                <w:szCs w:val="18"/>
              </w:rPr>
              <w:t xml:space="preserve"> ТП-198, ТП-249</w:t>
            </w:r>
          </w:p>
        </w:tc>
        <w:tc>
          <w:tcPr>
            <w:tcW w:w="1682"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208000</w:t>
            </w:r>
          </w:p>
        </w:tc>
        <w:tc>
          <w:tcPr>
            <w:tcW w:w="160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207399,29</w:t>
            </w:r>
          </w:p>
        </w:tc>
        <w:tc>
          <w:tcPr>
            <w:tcW w:w="232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proofErr w:type="spellStart"/>
            <w:r w:rsidRPr="00CD677D">
              <w:rPr>
                <w:sz w:val="18"/>
                <w:szCs w:val="18"/>
              </w:rPr>
              <w:t>обласний</w:t>
            </w:r>
            <w:proofErr w:type="spellEnd"/>
          </w:p>
        </w:tc>
      </w:tr>
      <w:tr w:rsidR="00CD677D" w:rsidRPr="00CD677D" w:rsidTr="00CB5A83">
        <w:trPr>
          <w:trHeight w:val="1405"/>
        </w:trPr>
        <w:tc>
          <w:tcPr>
            <w:tcW w:w="3860" w:type="dxa"/>
            <w:tcBorders>
              <w:top w:val="nil"/>
              <w:left w:val="single" w:sz="4" w:space="0" w:color="auto"/>
              <w:bottom w:val="single" w:sz="4" w:space="0" w:color="auto"/>
              <w:right w:val="single" w:sz="4" w:space="0" w:color="auto"/>
            </w:tcBorders>
            <w:vAlign w:val="center"/>
            <w:hideMark/>
          </w:tcPr>
          <w:p w:rsidR="00CD677D" w:rsidRPr="00CB5A83" w:rsidRDefault="00CD677D" w:rsidP="00CB1522">
            <w:pPr>
              <w:rPr>
                <w:iCs/>
                <w:color w:val="000000"/>
                <w:sz w:val="18"/>
                <w:szCs w:val="18"/>
              </w:rPr>
            </w:pPr>
            <w:proofErr w:type="spellStart"/>
            <w:r w:rsidRPr="00CB5A83">
              <w:rPr>
                <w:iCs/>
                <w:color w:val="000000"/>
                <w:sz w:val="18"/>
                <w:szCs w:val="18"/>
              </w:rPr>
              <w:t>Капітальний</w:t>
            </w:r>
            <w:proofErr w:type="spellEnd"/>
            <w:r w:rsidRPr="00CB5A83">
              <w:rPr>
                <w:iCs/>
                <w:color w:val="000000"/>
                <w:sz w:val="18"/>
                <w:szCs w:val="18"/>
              </w:rPr>
              <w:t xml:space="preserve"> ремонт </w:t>
            </w:r>
            <w:proofErr w:type="spellStart"/>
            <w:r w:rsidRPr="00CB5A83">
              <w:rPr>
                <w:iCs/>
                <w:color w:val="000000"/>
                <w:sz w:val="18"/>
                <w:szCs w:val="18"/>
              </w:rPr>
              <w:t>буді</w:t>
            </w:r>
            <w:proofErr w:type="gramStart"/>
            <w:r w:rsidRPr="00CB5A83">
              <w:rPr>
                <w:iCs/>
                <w:color w:val="000000"/>
                <w:sz w:val="18"/>
                <w:szCs w:val="18"/>
              </w:rPr>
              <w:t>вл</w:t>
            </w:r>
            <w:proofErr w:type="gramEnd"/>
            <w:r w:rsidRPr="00CB5A83">
              <w:rPr>
                <w:iCs/>
                <w:color w:val="000000"/>
                <w:sz w:val="18"/>
                <w:szCs w:val="18"/>
              </w:rPr>
              <w:t>і</w:t>
            </w:r>
            <w:proofErr w:type="spellEnd"/>
            <w:r w:rsidRPr="00CB5A83">
              <w:rPr>
                <w:iCs/>
                <w:color w:val="000000"/>
                <w:sz w:val="18"/>
                <w:szCs w:val="18"/>
              </w:rPr>
              <w:t xml:space="preserve"> </w:t>
            </w:r>
            <w:proofErr w:type="spellStart"/>
            <w:r w:rsidRPr="00CB5A83">
              <w:rPr>
                <w:iCs/>
                <w:color w:val="000000"/>
                <w:sz w:val="18"/>
                <w:szCs w:val="18"/>
              </w:rPr>
              <w:t>комунальної</w:t>
            </w:r>
            <w:proofErr w:type="spellEnd"/>
            <w:r w:rsidRPr="00CB5A83">
              <w:rPr>
                <w:iCs/>
                <w:color w:val="000000"/>
                <w:sz w:val="18"/>
                <w:szCs w:val="18"/>
              </w:rPr>
              <w:t xml:space="preserve"> установи "Центр </w:t>
            </w:r>
            <w:proofErr w:type="spellStart"/>
            <w:r w:rsidRPr="00CB5A83">
              <w:rPr>
                <w:iCs/>
                <w:color w:val="000000"/>
                <w:sz w:val="18"/>
                <w:szCs w:val="18"/>
              </w:rPr>
              <w:t>позашкільної</w:t>
            </w:r>
            <w:proofErr w:type="spellEnd"/>
            <w:r w:rsidRPr="00CB5A83">
              <w:rPr>
                <w:iCs/>
                <w:color w:val="000000"/>
                <w:sz w:val="18"/>
                <w:szCs w:val="18"/>
              </w:rPr>
              <w:t xml:space="preserve"> </w:t>
            </w:r>
            <w:proofErr w:type="spellStart"/>
            <w:r w:rsidRPr="00CB5A83">
              <w:rPr>
                <w:iCs/>
                <w:color w:val="000000"/>
                <w:sz w:val="18"/>
                <w:szCs w:val="18"/>
              </w:rPr>
              <w:t>освіти</w:t>
            </w:r>
            <w:proofErr w:type="spellEnd"/>
            <w:r w:rsidRPr="00CB5A83">
              <w:rPr>
                <w:iCs/>
                <w:color w:val="000000"/>
                <w:sz w:val="18"/>
                <w:szCs w:val="18"/>
              </w:rPr>
              <w:t xml:space="preserve"> та </w:t>
            </w:r>
            <w:proofErr w:type="spellStart"/>
            <w:r w:rsidRPr="00CB5A83">
              <w:rPr>
                <w:iCs/>
                <w:color w:val="000000"/>
                <w:sz w:val="18"/>
                <w:szCs w:val="18"/>
              </w:rPr>
              <w:t>виховання</w:t>
            </w:r>
            <w:proofErr w:type="spellEnd"/>
            <w:r w:rsidRPr="00CB5A83">
              <w:rPr>
                <w:iCs/>
                <w:color w:val="000000"/>
                <w:sz w:val="18"/>
                <w:szCs w:val="18"/>
              </w:rPr>
              <w:t xml:space="preserve"> </w:t>
            </w:r>
            <w:proofErr w:type="spellStart"/>
            <w:r w:rsidRPr="00CB5A83">
              <w:rPr>
                <w:iCs/>
                <w:color w:val="000000"/>
                <w:sz w:val="18"/>
                <w:szCs w:val="18"/>
              </w:rPr>
              <w:t>дітей</w:t>
            </w:r>
            <w:proofErr w:type="spellEnd"/>
            <w:r w:rsidRPr="00CB5A83">
              <w:rPr>
                <w:iCs/>
                <w:color w:val="000000"/>
                <w:sz w:val="18"/>
                <w:szCs w:val="18"/>
              </w:rPr>
              <w:t xml:space="preserve"> Ананьївської </w:t>
            </w:r>
            <w:proofErr w:type="spellStart"/>
            <w:r w:rsidRPr="00CB5A83">
              <w:rPr>
                <w:iCs/>
                <w:color w:val="000000"/>
                <w:sz w:val="18"/>
                <w:szCs w:val="18"/>
              </w:rPr>
              <w:t>міської</w:t>
            </w:r>
            <w:proofErr w:type="spellEnd"/>
            <w:r w:rsidRPr="00CB5A83">
              <w:rPr>
                <w:iCs/>
                <w:color w:val="000000"/>
                <w:sz w:val="18"/>
                <w:szCs w:val="18"/>
              </w:rPr>
              <w:t xml:space="preserve"> ради" за </w:t>
            </w:r>
            <w:proofErr w:type="spellStart"/>
            <w:r w:rsidRPr="00CB5A83">
              <w:rPr>
                <w:iCs/>
                <w:color w:val="000000"/>
                <w:sz w:val="18"/>
                <w:szCs w:val="18"/>
              </w:rPr>
              <w:t>адресою</w:t>
            </w:r>
            <w:proofErr w:type="spellEnd"/>
            <w:r w:rsidRPr="00CB5A83">
              <w:rPr>
                <w:iCs/>
                <w:color w:val="000000"/>
                <w:sz w:val="18"/>
                <w:szCs w:val="18"/>
              </w:rPr>
              <w:t xml:space="preserve">: </w:t>
            </w:r>
            <w:proofErr w:type="spellStart"/>
            <w:r w:rsidRPr="00CB5A83">
              <w:rPr>
                <w:iCs/>
                <w:color w:val="000000"/>
                <w:sz w:val="18"/>
                <w:szCs w:val="18"/>
              </w:rPr>
              <w:t>Одеська</w:t>
            </w:r>
            <w:proofErr w:type="spellEnd"/>
            <w:r w:rsidRPr="00CB5A83">
              <w:rPr>
                <w:iCs/>
                <w:color w:val="000000"/>
                <w:sz w:val="18"/>
                <w:szCs w:val="18"/>
              </w:rPr>
              <w:t xml:space="preserve"> область, </w:t>
            </w:r>
            <w:proofErr w:type="spellStart"/>
            <w:r w:rsidRPr="00CB5A83">
              <w:rPr>
                <w:iCs/>
                <w:color w:val="000000"/>
                <w:sz w:val="18"/>
                <w:szCs w:val="18"/>
              </w:rPr>
              <w:t>м</w:t>
            </w:r>
            <w:proofErr w:type="gramStart"/>
            <w:r w:rsidRPr="00CB5A83">
              <w:rPr>
                <w:iCs/>
                <w:color w:val="000000"/>
                <w:sz w:val="18"/>
                <w:szCs w:val="18"/>
              </w:rPr>
              <w:t>.А</w:t>
            </w:r>
            <w:proofErr w:type="gramEnd"/>
            <w:r w:rsidRPr="00CB5A83">
              <w:rPr>
                <w:iCs/>
                <w:color w:val="000000"/>
                <w:sz w:val="18"/>
                <w:szCs w:val="18"/>
              </w:rPr>
              <w:t>наньїв</w:t>
            </w:r>
            <w:proofErr w:type="spellEnd"/>
            <w:r w:rsidRPr="00CB5A83">
              <w:rPr>
                <w:iCs/>
                <w:color w:val="000000"/>
                <w:sz w:val="18"/>
                <w:szCs w:val="18"/>
              </w:rPr>
              <w:t xml:space="preserve">, </w:t>
            </w:r>
            <w:proofErr w:type="spellStart"/>
            <w:r w:rsidRPr="00CB5A83">
              <w:rPr>
                <w:iCs/>
                <w:color w:val="000000"/>
                <w:sz w:val="18"/>
                <w:szCs w:val="18"/>
              </w:rPr>
              <w:t>вул.Героїв</w:t>
            </w:r>
            <w:proofErr w:type="spellEnd"/>
            <w:r w:rsidRPr="00CB5A83">
              <w:rPr>
                <w:iCs/>
                <w:color w:val="000000"/>
                <w:sz w:val="18"/>
                <w:szCs w:val="18"/>
              </w:rPr>
              <w:t xml:space="preserve"> України,48 </w:t>
            </w:r>
          </w:p>
        </w:tc>
        <w:tc>
          <w:tcPr>
            <w:tcW w:w="1682"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2000000</w:t>
            </w:r>
          </w:p>
        </w:tc>
        <w:tc>
          <w:tcPr>
            <w:tcW w:w="160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2000000</w:t>
            </w:r>
          </w:p>
        </w:tc>
        <w:tc>
          <w:tcPr>
            <w:tcW w:w="232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proofErr w:type="spellStart"/>
            <w:r w:rsidRPr="00CD677D">
              <w:rPr>
                <w:sz w:val="18"/>
                <w:szCs w:val="18"/>
              </w:rPr>
              <w:t>обласний</w:t>
            </w:r>
            <w:proofErr w:type="spellEnd"/>
          </w:p>
        </w:tc>
      </w:tr>
      <w:tr w:rsidR="00CD677D" w:rsidRPr="00CD677D" w:rsidTr="00CB5A83">
        <w:trPr>
          <w:trHeight w:val="1128"/>
        </w:trPr>
        <w:tc>
          <w:tcPr>
            <w:tcW w:w="3860" w:type="dxa"/>
            <w:tcBorders>
              <w:top w:val="nil"/>
              <w:left w:val="single" w:sz="4" w:space="0" w:color="auto"/>
              <w:bottom w:val="single" w:sz="4" w:space="0" w:color="auto"/>
              <w:right w:val="single" w:sz="4" w:space="0" w:color="auto"/>
            </w:tcBorders>
            <w:vAlign w:val="center"/>
            <w:hideMark/>
          </w:tcPr>
          <w:p w:rsidR="00CD677D" w:rsidRPr="00CB5A83" w:rsidRDefault="00CD677D" w:rsidP="00CB1522">
            <w:pPr>
              <w:rPr>
                <w:iCs/>
                <w:color w:val="000000"/>
                <w:sz w:val="18"/>
                <w:szCs w:val="18"/>
              </w:rPr>
            </w:pPr>
            <w:proofErr w:type="spellStart"/>
            <w:r w:rsidRPr="00CB5A83">
              <w:rPr>
                <w:iCs/>
                <w:color w:val="000000"/>
                <w:sz w:val="18"/>
                <w:szCs w:val="18"/>
              </w:rPr>
              <w:t>Капітальний</w:t>
            </w:r>
            <w:proofErr w:type="spellEnd"/>
            <w:r w:rsidRPr="00CB5A83">
              <w:rPr>
                <w:iCs/>
                <w:color w:val="000000"/>
                <w:sz w:val="18"/>
                <w:szCs w:val="18"/>
              </w:rPr>
              <w:t xml:space="preserve"> ремонт </w:t>
            </w:r>
            <w:proofErr w:type="spellStart"/>
            <w:r w:rsidRPr="00CB5A83">
              <w:rPr>
                <w:iCs/>
                <w:color w:val="000000"/>
                <w:sz w:val="18"/>
                <w:szCs w:val="18"/>
              </w:rPr>
              <w:t>даху</w:t>
            </w:r>
            <w:proofErr w:type="spellEnd"/>
            <w:r w:rsidRPr="00CB5A83">
              <w:rPr>
                <w:iCs/>
                <w:color w:val="000000"/>
                <w:sz w:val="18"/>
                <w:szCs w:val="18"/>
              </w:rPr>
              <w:t xml:space="preserve"> закладу </w:t>
            </w:r>
            <w:proofErr w:type="spellStart"/>
            <w:r w:rsidRPr="00CB5A83">
              <w:rPr>
                <w:iCs/>
                <w:color w:val="000000"/>
                <w:sz w:val="18"/>
                <w:szCs w:val="18"/>
              </w:rPr>
              <w:t>дошкільної</w:t>
            </w:r>
            <w:proofErr w:type="spellEnd"/>
            <w:r w:rsidRPr="00CB5A83">
              <w:rPr>
                <w:iCs/>
                <w:color w:val="000000"/>
                <w:sz w:val="18"/>
                <w:szCs w:val="18"/>
              </w:rPr>
              <w:t xml:space="preserve"> </w:t>
            </w:r>
            <w:proofErr w:type="spellStart"/>
            <w:r w:rsidRPr="00CB5A83">
              <w:rPr>
                <w:iCs/>
                <w:color w:val="000000"/>
                <w:sz w:val="18"/>
                <w:szCs w:val="18"/>
              </w:rPr>
              <w:t>освіти</w:t>
            </w:r>
            <w:proofErr w:type="spellEnd"/>
            <w:r w:rsidRPr="00CB5A83">
              <w:rPr>
                <w:iCs/>
                <w:color w:val="000000"/>
                <w:sz w:val="18"/>
                <w:szCs w:val="18"/>
              </w:rPr>
              <w:t xml:space="preserve"> (</w:t>
            </w:r>
            <w:proofErr w:type="spellStart"/>
            <w:r w:rsidRPr="00CB5A83">
              <w:rPr>
                <w:iCs/>
                <w:color w:val="000000"/>
                <w:sz w:val="18"/>
                <w:szCs w:val="18"/>
              </w:rPr>
              <w:t>ясла</w:t>
            </w:r>
            <w:proofErr w:type="spellEnd"/>
            <w:r w:rsidRPr="00CB5A83">
              <w:rPr>
                <w:iCs/>
                <w:color w:val="000000"/>
                <w:sz w:val="18"/>
                <w:szCs w:val="18"/>
              </w:rPr>
              <w:t xml:space="preserve">-садок) №2 "Ромашка" Ананьївської </w:t>
            </w:r>
            <w:proofErr w:type="spellStart"/>
            <w:r w:rsidRPr="00CB5A83">
              <w:rPr>
                <w:iCs/>
                <w:color w:val="000000"/>
                <w:sz w:val="18"/>
                <w:szCs w:val="18"/>
              </w:rPr>
              <w:t>міської</w:t>
            </w:r>
            <w:proofErr w:type="spellEnd"/>
            <w:r w:rsidRPr="00CB5A83">
              <w:rPr>
                <w:iCs/>
                <w:color w:val="000000"/>
                <w:sz w:val="18"/>
                <w:szCs w:val="18"/>
              </w:rPr>
              <w:t xml:space="preserve"> </w:t>
            </w:r>
            <w:proofErr w:type="gramStart"/>
            <w:r w:rsidRPr="00CB5A83">
              <w:rPr>
                <w:iCs/>
                <w:color w:val="000000"/>
                <w:sz w:val="18"/>
                <w:szCs w:val="18"/>
              </w:rPr>
              <w:t>ради</w:t>
            </w:r>
            <w:proofErr w:type="gramEnd"/>
            <w:r w:rsidRPr="00CB5A83">
              <w:rPr>
                <w:iCs/>
                <w:color w:val="000000"/>
                <w:sz w:val="18"/>
                <w:szCs w:val="18"/>
              </w:rPr>
              <w:t xml:space="preserve"> за </w:t>
            </w:r>
            <w:proofErr w:type="spellStart"/>
            <w:r w:rsidRPr="00CB5A83">
              <w:rPr>
                <w:iCs/>
                <w:color w:val="000000"/>
                <w:sz w:val="18"/>
                <w:szCs w:val="18"/>
              </w:rPr>
              <w:t>адресою</w:t>
            </w:r>
            <w:proofErr w:type="spellEnd"/>
            <w:r w:rsidRPr="00CB5A83">
              <w:rPr>
                <w:iCs/>
                <w:color w:val="000000"/>
                <w:sz w:val="18"/>
                <w:szCs w:val="18"/>
              </w:rPr>
              <w:t xml:space="preserve">: </w:t>
            </w:r>
            <w:proofErr w:type="spellStart"/>
            <w:r w:rsidRPr="00CB5A83">
              <w:rPr>
                <w:iCs/>
                <w:color w:val="000000"/>
                <w:sz w:val="18"/>
                <w:szCs w:val="18"/>
              </w:rPr>
              <w:t>Одеська</w:t>
            </w:r>
            <w:proofErr w:type="spellEnd"/>
            <w:r w:rsidRPr="00CB5A83">
              <w:rPr>
                <w:iCs/>
                <w:color w:val="000000"/>
                <w:sz w:val="18"/>
                <w:szCs w:val="18"/>
              </w:rPr>
              <w:t xml:space="preserve"> область, </w:t>
            </w:r>
            <w:proofErr w:type="spellStart"/>
            <w:r w:rsidRPr="00CB5A83">
              <w:rPr>
                <w:iCs/>
                <w:color w:val="000000"/>
                <w:sz w:val="18"/>
                <w:szCs w:val="18"/>
              </w:rPr>
              <w:t>м</w:t>
            </w:r>
            <w:proofErr w:type="gramStart"/>
            <w:r w:rsidRPr="00CB5A83">
              <w:rPr>
                <w:iCs/>
                <w:color w:val="000000"/>
                <w:sz w:val="18"/>
                <w:szCs w:val="18"/>
              </w:rPr>
              <w:t>.А</w:t>
            </w:r>
            <w:proofErr w:type="gramEnd"/>
            <w:r w:rsidRPr="00CB5A83">
              <w:rPr>
                <w:iCs/>
                <w:color w:val="000000"/>
                <w:sz w:val="18"/>
                <w:szCs w:val="18"/>
              </w:rPr>
              <w:t>наньїв</w:t>
            </w:r>
            <w:proofErr w:type="spellEnd"/>
            <w:r w:rsidRPr="00CB5A83">
              <w:rPr>
                <w:iCs/>
                <w:color w:val="000000"/>
                <w:sz w:val="18"/>
                <w:szCs w:val="18"/>
              </w:rPr>
              <w:t>, вул.Дворянська,60</w:t>
            </w:r>
          </w:p>
        </w:tc>
        <w:tc>
          <w:tcPr>
            <w:tcW w:w="1682"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316783</w:t>
            </w:r>
          </w:p>
        </w:tc>
        <w:tc>
          <w:tcPr>
            <w:tcW w:w="160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314694,06</w:t>
            </w:r>
          </w:p>
        </w:tc>
        <w:tc>
          <w:tcPr>
            <w:tcW w:w="232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proofErr w:type="spellStart"/>
            <w:r w:rsidRPr="00CD677D">
              <w:rPr>
                <w:sz w:val="18"/>
                <w:szCs w:val="18"/>
              </w:rPr>
              <w:t>обласний</w:t>
            </w:r>
            <w:proofErr w:type="spellEnd"/>
          </w:p>
        </w:tc>
      </w:tr>
      <w:tr w:rsidR="00CD677D" w:rsidRPr="00CD677D" w:rsidTr="00CB5A83">
        <w:trPr>
          <w:trHeight w:val="1130"/>
        </w:trPr>
        <w:tc>
          <w:tcPr>
            <w:tcW w:w="3860" w:type="dxa"/>
            <w:tcBorders>
              <w:top w:val="nil"/>
              <w:left w:val="single" w:sz="4" w:space="0" w:color="auto"/>
              <w:bottom w:val="single" w:sz="4" w:space="0" w:color="auto"/>
              <w:right w:val="single" w:sz="4" w:space="0" w:color="auto"/>
            </w:tcBorders>
            <w:vAlign w:val="center"/>
            <w:hideMark/>
          </w:tcPr>
          <w:p w:rsidR="00CD677D" w:rsidRPr="00CB5A83" w:rsidRDefault="00CD677D" w:rsidP="00CB1522">
            <w:pPr>
              <w:rPr>
                <w:iCs/>
                <w:color w:val="000000"/>
                <w:sz w:val="18"/>
                <w:szCs w:val="18"/>
              </w:rPr>
            </w:pPr>
            <w:proofErr w:type="spellStart"/>
            <w:r w:rsidRPr="00CB5A83">
              <w:rPr>
                <w:iCs/>
                <w:color w:val="000000"/>
                <w:sz w:val="18"/>
                <w:szCs w:val="18"/>
              </w:rPr>
              <w:t>Придбання</w:t>
            </w:r>
            <w:proofErr w:type="spellEnd"/>
            <w:r w:rsidRPr="00CB5A83">
              <w:rPr>
                <w:iCs/>
                <w:color w:val="000000"/>
                <w:sz w:val="18"/>
                <w:szCs w:val="18"/>
              </w:rPr>
              <w:t xml:space="preserve"> </w:t>
            </w:r>
            <w:proofErr w:type="spellStart"/>
            <w:r w:rsidRPr="00CB5A83">
              <w:rPr>
                <w:iCs/>
                <w:color w:val="000000"/>
                <w:sz w:val="18"/>
                <w:szCs w:val="18"/>
              </w:rPr>
              <w:t>реабілітаційного</w:t>
            </w:r>
            <w:proofErr w:type="spellEnd"/>
            <w:r w:rsidRPr="00CB5A83">
              <w:rPr>
                <w:iCs/>
                <w:color w:val="000000"/>
                <w:sz w:val="18"/>
                <w:szCs w:val="18"/>
              </w:rPr>
              <w:t xml:space="preserve"> </w:t>
            </w:r>
            <w:proofErr w:type="spellStart"/>
            <w:r w:rsidRPr="00CB5A83">
              <w:rPr>
                <w:iCs/>
                <w:color w:val="000000"/>
                <w:sz w:val="18"/>
                <w:szCs w:val="18"/>
              </w:rPr>
              <w:t>обладнання</w:t>
            </w:r>
            <w:proofErr w:type="spellEnd"/>
            <w:r w:rsidRPr="00CB5A83">
              <w:rPr>
                <w:iCs/>
                <w:color w:val="000000"/>
                <w:sz w:val="18"/>
                <w:szCs w:val="18"/>
              </w:rPr>
              <w:t xml:space="preserve"> для Ананьївського </w:t>
            </w:r>
            <w:proofErr w:type="spellStart"/>
            <w:r w:rsidRPr="00CB5A83">
              <w:rPr>
                <w:iCs/>
                <w:color w:val="000000"/>
                <w:sz w:val="18"/>
                <w:szCs w:val="18"/>
              </w:rPr>
              <w:t>дитячого</w:t>
            </w:r>
            <w:proofErr w:type="spellEnd"/>
            <w:r w:rsidRPr="00CB5A83">
              <w:rPr>
                <w:iCs/>
                <w:color w:val="000000"/>
                <w:sz w:val="18"/>
                <w:szCs w:val="18"/>
              </w:rPr>
              <w:t xml:space="preserve"> </w:t>
            </w:r>
            <w:proofErr w:type="spellStart"/>
            <w:r w:rsidRPr="00CB5A83">
              <w:rPr>
                <w:iCs/>
                <w:color w:val="000000"/>
                <w:sz w:val="18"/>
                <w:szCs w:val="18"/>
              </w:rPr>
              <w:t>будинк</w:t>
            </w:r>
            <w:proofErr w:type="gramStart"/>
            <w:r w:rsidRPr="00CB5A83">
              <w:rPr>
                <w:iCs/>
                <w:color w:val="000000"/>
                <w:sz w:val="18"/>
                <w:szCs w:val="18"/>
              </w:rPr>
              <w:t>у-</w:t>
            </w:r>
            <w:proofErr w:type="gramEnd"/>
            <w:r w:rsidRPr="00CB5A83">
              <w:rPr>
                <w:iCs/>
                <w:color w:val="000000"/>
                <w:sz w:val="18"/>
                <w:szCs w:val="18"/>
              </w:rPr>
              <w:t>інтернату</w:t>
            </w:r>
            <w:proofErr w:type="spellEnd"/>
            <w:r w:rsidRPr="00CB5A83">
              <w:rPr>
                <w:iCs/>
                <w:color w:val="000000"/>
                <w:sz w:val="18"/>
                <w:szCs w:val="18"/>
              </w:rPr>
              <w:t xml:space="preserve"> </w:t>
            </w:r>
            <w:proofErr w:type="spellStart"/>
            <w:r w:rsidRPr="00CB5A83">
              <w:rPr>
                <w:iCs/>
                <w:color w:val="000000"/>
                <w:sz w:val="18"/>
                <w:szCs w:val="18"/>
              </w:rPr>
              <w:t>В.Вужиловської</w:t>
            </w:r>
            <w:proofErr w:type="spellEnd"/>
          </w:p>
        </w:tc>
        <w:tc>
          <w:tcPr>
            <w:tcW w:w="1682"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100000</w:t>
            </w:r>
          </w:p>
        </w:tc>
        <w:tc>
          <w:tcPr>
            <w:tcW w:w="160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0</w:t>
            </w:r>
          </w:p>
        </w:tc>
        <w:tc>
          <w:tcPr>
            <w:tcW w:w="232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proofErr w:type="spellStart"/>
            <w:r w:rsidRPr="00CD677D">
              <w:rPr>
                <w:sz w:val="18"/>
                <w:szCs w:val="18"/>
              </w:rPr>
              <w:t>обласний</w:t>
            </w:r>
            <w:proofErr w:type="spellEnd"/>
          </w:p>
        </w:tc>
      </w:tr>
      <w:tr w:rsidR="00CD677D" w:rsidRPr="00CD677D" w:rsidTr="00CD677D">
        <w:trPr>
          <w:trHeight w:val="1065"/>
        </w:trPr>
        <w:tc>
          <w:tcPr>
            <w:tcW w:w="3860" w:type="dxa"/>
            <w:tcBorders>
              <w:top w:val="nil"/>
              <w:left w:val="single" w:sz="4" w:space="0" w:color="auto"/>
              <w:bottom w:val="single" w:sz="4" w:space="0" w:color="auto"/>
              <w:right w:val="single" w:sz="4" w:space="0" w:color="auto"/>
            </w:tcBorders>
            <w:vAlign w:val="center"/>
            <w:hideMark/>
          </w:tcPr>
          <w:p w:rsidR="00CD677D" w:rsidRPr="00CB5A83" w:rsidRDefault="00CD677D" w:rsidP="00CB1522">
            <w:pPr>
              <w:rPr>
                <w:iCs/>
                <w:color w:val="000000"/>
                <w:sz w:val="18"/>
                <w:szCs w:val="18"/>
              </w:rPr>
            </w:pPr>
            <w:proofErr w:type="spellStart"/>
            <w:r w:rsidRPr="00CB5A83">
              <w:rPr>
                <w:iCs/>
                <w:color w:val="000000"/>
                <w:sz w:val="18"/>
                <w:szCs w:val="18"/>
              </w:rPr>
              <w:t>Капітальний</w:t>
            </w:r>
            <w:proofErr w:type="spellEnd"/>
            <w:r w:rsidRPr="00CB5A83">
              <w:rPr>
                <w:iCs/>
                <w:color w:val="000000"/>
                <w:sz w:val="18"/>
                <w:szCs w:val="18"/>
              </w:rPr>
              <w:t xml:space="preserve"> ремонт </w:t>
            </w:r>
            <w:proofErr w:type="spellStart"/>
            <w:r w:rsidRPr="00CB5A83">
              <w:rPr>
                <w:iCs/>
                <w:color w:val="000000"/>
                <w:sz w:val="18"/>
                <w:szCs w:val="18"/>
              </w:rPr>
              <w:t>спортивної</w:t>
            </w:r>
            <w:proofErr w:type="spellEnd"/>
            <w:r w:rsidRPr="00CB5A83">
              <w:rPr>
                <w:iCs/>
                <w:color w:val="000000"/>
                <w:sz w:val="18"/>
                <w:szCs w:val="18"/>
              </w:rPr>
              <w:t xml:space="preserve"> </w:t>
            </w:r>
            <w:proofErr w:type="spellStart"/>
            <w:r w:rsidRPr="00CB5A83">
              <w:rPr>
                <w:iCs/>
                <w:color w:val="000000"/>
                <w:sz w:val="18"/>
                <w:szCs w:val="18"/>
              </w:rPr>
              <w:t>зали</w:t>
            </w:r>
            <w:proofErr w:type="spellEnd"/>
            <w:r w:rsidRPr="00CB5A83">
              <w:rPr>
                <w:iCs/>
                <w:color w:val="000000"/>
                <w:sz w:val="18"/>
                <w:szCs w:val="18"/>
              </w:rPr>
              <w:t xml:space="preserve"> </w:t>
            </w:r>
            <w:proofErr w:type="spellStart"/>
            <w:r w:rsidRPr="00CB5A83">
              <w:rPr>
                <w:iCs/>
                <w:color w:val="000000"/>
                <w:sz w:val="18"/>
                <w:szCs w:val="18"/>
              </w:rPr>
              <w:t>комунальної</w:t>
            </w:r>
            <w:proofErr w:type="spellEnd"/>
            <w:r w:rsidRPr="00CB5A83">
              <w:rPr>
                <w:iCs/>
                <w:color w:val="000000"/>
                <w:sz w:val="18"/>
                <w:szCs w:val="18"/>
              </w:rPr>
              <w:t xml:space="preserve"> установи «Ананьївський </w:t>
            </w:r>
            <w:proofErr w:type="spellStart"/>
            <w:r w:rsidRPr="00CB5A83">
              <w:rPr>
                <w:iCs/>
                <w:color w:val="000000"/>
                <w:sz w:val="18"/>
                <w:szCs w:val="18"/>
              </w:rPr>
              <w:t>ліцей</w:t>
            </w:r>
            <w:proofErr w:type="spellEnd"/>
            <w:r w:rsidRPr="00CB5A83">
              <w:rPr>
                <w:iCs/>
                <w:color w:val="000000"/>
                <w:sz w:val="18"/>
                <w:szCs w:val="18"/>
              </w:rPr>
              <w:t xml:space="preserve"> №2 Ананьївської </w:t>
            </w:r>
            <w:proofErr w:type="spellStart"/>
            <w:r w:rsidRPr="00CB5A83">
              <w:rPr>
                <w:iCs/>
                <w:color w:val="000000"/>
                <w:sz w:val="18"/>
                <w:szCs w:val="18"/>
              </w:rPr>
              <w:t>міської</w:t>
            </w:r>
            <w:proofErr w:type="spellEnd"/>
            <w:r w:rsidRPr="00CB5A83">
              <w:rPr>
                <w:iCs/>
                <w:color w:val="000000"/>
                <w:sz w:val="18"/>
                <w:szCs w:val="18"/>
              </w:rPr>
              <w:t xml:space="preserve"> ради» за </w:t>
            </w:r>
            <w:proofErr w:type="spellStart"/>
            <w:r w:rsidRPr="00CB5A83">
              <w:rPr>
                <w:iCs/>
                <w:color w:val="000000"/>
                <w:sz w:val="18"/>
                <w:szCs w:val="18"/>
              </w:rPr>
              <w:t>адресою</w:t>
            </w:r>
            <w:proofErr w:type="spellEnd"/>
            <w:proofErr w:type="gramStart"/>
            <w:r w:rsidRPr="00CB5A83">
              <w:rPr>
                <w:iCs/>
                <w:color w:val="000000"/>
                <w:sz w:val="18"/>
                <w:szCs w:val="18"/>
              </w:rPr>
              <w:t xml:space="preserve"> :</w:t>
            </w:r>
            <w:proofErr w:type="gramEnd"/>
            <w:r w:rsidRPr="00CB5A83">
              <w:rPr>
                <w:iCs/>
                <w:color w:val="000000"/>
                <w:sz w:val="18"/>
                <w:szCs w:val="18"/>
              </w:rPr>
              <w:t xml:space="preserve"> </w:t>
            </w:r>
            <w:proofErr w:type="spellStart"/>
            <w:r w:rsidRPr="00CB5A83">
              <w:rPr>
                <w:iCs/>
                <w:color w:val="000000"/>
                <w:sz w:val="18"/>
                <w:szCs w:val="18"/>
              </w:rPr>
              <w:t>Одеська</w:t>
            </w:r>
            <w:proofErr w:type="spellEnd"/>
            <w:r w:rsidRPr="00CB5A83">
              <w:rPr>
                <w:iCs/>
                <w:color w:val="000000"/>
                <w:sz w:val="18"/>
                <w:szCs w:val="18"/>
              </w:rPr>
              <w:t xml:space="preserve"> область, </w:t>
            </w:r>
            <w:proofErr w:type="spellStart"/>
            <w:r w:rsidRPr="00CB5A83">
              <w:rPr>
                <w:iCs/>
                <w:color w:val="000000"/>
                <w:sz w:val="18"/>
                <w:szCs w:val="18"/>
              </w:rPr>
              <w:t>м</w:t>
            </w:r>
            <w:proofErr w:type="gramStart"/>
            <w:r w:rsidRPr="00CB5A83">
              <w:rPr>
                <w:iCs/>
                <w:color w:val="000000"/>
                <w:sz w:val="18"/>
                <w:szCs w:val="18"/>
              </w:rPr>
              <w:t>.А</w:t>
            </w:r>
            <w:proofErr w:type="gramEnd"/>
            <w:r w:rsidRPr="00CB5A83">
              <w:rPr>
                <w:iCs/>
                <w:color w:val="000000"/>
                <w:sz w:val="18"/>
                <w:szCs w:val="18"/>
              </w:rPr>
              <w:t>наньїв</w:t>
            </w:r>
            <w:proofErr w:type="spellEnd"/>
            <w:r w:rsidRPr="00CB5A83">
              <w:rPr>
                <w:iCs/>
                <w:color w:val="000000"/>
                <w:sz w:val="18"/>
                <w:szCs w:val="18"/>
              </w:rPr>
              <w:t xml:space="preserve">, </w:t>
            </w:r>
            <w:proofErr w:type="spellStart"/>
            <w:r w:rsidRPr="00CB5A83">
              <w:rPr>
                <w:iCs/>
                <w:color w:val="000000"/>
                <w:sz w:val="18"/>
                <w:szCs w:val="18"/>
              </w:rPr>
              <w:t>вул</w:t>
            </w:r>
            <w:proofErr w:type="spellEnd"/>
            <w:r w:rsidRPr="00CB5A83">
              <w:rPr>
                <w:iCs/>
                <w:color w:val="000000"/>
                <w:sz w:val="18"/>
                <w:szCs w:val="18"/>
              </w:rPr>
              <w:t xml:space="preserve">. </w:t>
            </w:r>
            <w:proofErr w:type="spellStart"/>
            <w:r w:rsidRPr="00CB5A83">
              <w:rPr>
                <w:iCs/>
                <w:color w:val="000000"/>
                <w:sz w:val="18"/>
                <w:szCs w:val="18"/>
              </w:rPr>
              <w:t>Пушкіна</w:t>
            </w:r>
            <w:proofErr w:type="spellEnd"/>
            <w:r w:rsidRPr="00CB5A83">
              <w:rPr>
                <w:iCs/>
                <w:color w:val="000000"/>
                <w:sz w:val="18"/>
                <w:szCs w:val="18"/>
              </w:rPr>
              <w:t>, 52</w:t>
            </w:r>
          </w:p>
        </w:tc>
        <w:tc>
          <w:tcPr>
            <w:tcW w:w="1682"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705000</w:t>
            </w:r>
          </w:p>
        </w:tc>
        <w:tc>
          <w:tcPr>
            <w:tcW w:w="160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704520,24</w:t>
            </w:r>
          </w:p>
        </w:tc>
        <w:tc>
          <w:tcPr>
            <w:tcW w:w="232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proofErr w:type="spellStart"/>
            <w:r w:rsidRPr="00CD677D">
              <w:rPr>
                <w:sz w:val="18"/>
                <w:szCs w:val="18"/>
              </w:rPr>
              <w:t>обласний</w:t>
            </w:r>
            <w:proofErr w:type="spellEnd"/>
          </w:p>
        </w:tc>
      </w:tr>
      <w:tr w:rsidR="00CD677D" w:rsidRPr="00CD677D" w:rsidTr="00CB5A83">
        <w:trPr>
          <w:trHeight w:val="1743"/>
        </w:trPr>
        <w:tc>
          <w:tcPr>
            <w:tcW w:w="3860" w:type="dxa"/>
            <w:tcBorders>
              <w:top w:val="nil"/>
              <w:left w:val="single" w:sz="4" w:space="0" w:color="auto"/>
              <w:bottom w:val="single" w:sz="4" w:space="0" w:color="auto"/>
              <w:right w:val="single" w:sz="4" w:space="0" w:color="auto"/>
            </w:tcBorders>
            <w:vAlign w:val="center"/>
            <w:hideMark/>
          </w:tcPr>
          <w:p w:rsidR="00CD677D" w:rsidRPr="00CB5A83" w:rsidRDefault="00CD677D" w:rsidP="00CB1522">
            <w:pPr>
              <w:rPr>
                <w:iCs/>
                <w:color w:val="000000"/>
                <w:sz w:val="18"/>
                <w:szCs w:val="18"/>
              </w:rPr>
            </w:pPr>
            <w:proofErr w:type="spellStart"/>
            <w:r w:rsidRPr="00CB5A83">
              <w:rPr>
                <w:iCs/>
                <w:color w:val="000000"/>
                <w:sz w:val="18"/>
                <w:szCs w:val="18"/>
              </w:rPr>
              <w:t>Капітальний</w:t>
            </w:r>
            <w:proofErr w:type="spellEnd"/>
            <w:r w:rsidRPr="00CB5A83">
              <w:rPr>
                <w:iCs/>
                <w:color w:val="000000"/>
                <w:sz w:val="18"/>
                <w:szCs w:val="18"/>
              </w:rPr>
              <w:t xml:space="preserve"> ремонт </w:t>
            </w:r>
            <w:proofErr w:type="spellStart"/>
            <w:r w:rsidRPr="00CB5A83">
              <w:rPr>
                <w:iCs/>
                <w:color w:val="000000"/>
                <w:sz w:val="18"/>
                <w:szCs w:val="18"/>
              </w:rPr>
              <w:t>прилеглої</w:t>
            </w:r>
            <w:proofErr w:type="spellEnd"/>
            <w:r w:rsidRPr="00CB5A83">
              <w:rPr>
                <w:iCs/>
                <w:color w:val="000000"/>
                <w:sz w:val="18"/>
                <w:szCs w:val="18"/>
              </w:rPr>
              <w:t xml:space="preserve"> </w:t>
            </w:r>
            <w:proofErr w:type="spellStart"/>
            <w:r w:rsidRPr="00CB5A83">
              <w:rPr>
                <w:iCs/>
                <w:color w:val="000000"/>
                <w:sz w:val="18"/>
                <w:szCs w:val="18"/>
              </w:rPr>
              <w:t>території</w:t>
            </w:r>
            <w:proofErr w:type="spellEnd"/>
            <w:r w:rsidRPr="00CB5A83">
              <w:rPr>
                <w:iCs/>
                <w:color w:val="000000"/>
                <w:sz w:val="18"/>
                <w:szCs w:val="18"/>
              </w:rPr>
              <w:t xml:space="preserve"> </w:t>
            </w:r>
            <w:proofErr w:type="spellStart"/>
            <w:r w:rsidRPr="00CB5A83">
              <w:rPr>
                <w:iCs/>
                <w:color w:val="000000"/>
                <w:sz w:val="18"/>
                <w:szCs w:val="18"/>
              </w:rPr>
              <w:t>Комунального</w:t>
            </w:r>
            <w:proofErr w:type="spellEnd"/>
            <w:r w:rsidRPr="00CB5A83">
              <w:rPr>
                <w:iCs/>
                <w:color w:val="000000"/>
                <w:sz w:val="18"/>
                <w:szCs w:val="18"/>
              </w:rPr>
              <w:t xml:space="preserve"> </w:t>
            </w:r>
            <w:proofErr w:type="spellStart"/>
            <w:r w:rsidRPr="00CB5A83">
              <w:rPr>
                <w:iCs/>
                <w:color w:val="000000"/>
                <w:sz w:val="18"/>
                <w:szCs w:val="18"/>
              </w:rPr>
              <w:t>некомерційного</w:t>
            </w:r>
            <w:proofErr w:type="spellEnd"/>
            <w:r w:rsidRPr="00CB5A83">
              <w:rPr>
                <w:iCs/>
                <w:color w:val="000000"/>
                <w:sz w:val="18"/>
                <w:szCs w:val="18"/>
              </w:rPr>
              <w:t xml:space="preserve"> </w:t>
            </w:r>
            <w:proofErr w:type="spellStart"/>
            <w:proofErr w:type="gramStart"/>
            <w:r w:rsidRPr="00CB5A83">
              <w:rPr>
                <w:iCs/>
                <w:color w:val="000000"/>
                <w:sz w:val="18"/>
                <w:szCs w:val="18"/>
              </w:rPr>
              <w:t>п</w:t>
            </w:r>
            <w:proofErr w:type="gramEnd"/>
            <w:r w:rsidRPr="00CB5A83">
              <w:rPr>
                <w:iCs/>
                <w:color w:val="000000"/>
                <w:sz w:val="18"/>
                <w:szCs w:val="18"/>
              </w:rPr>
              <w:t>ідприємства</w:t>
            </w:r>
            <w:proofErr w:type="spellEnd"/>
            <w:r w:rsidRPr="00CB5A83">
              <w:rPr>
                <w:iCs/>
                <w:color w:val="000000"/>
                <w:sz w:val="18"/>
                <w:szCs w:val="18"/>
              </w:rPr>
              <w:t xml:space="preserve"> "Ананьївська </w:t>
            </w:r>
            <w:proofErr w:type="spellStart"/>
            <w:r w:rsidRPr="00CB5A83">
              <w:rPr>
                <w:iCs/>
                <w:color w:val="000000"/>
                <w:sz w:val="18"/>
                <w:szCs w:val="18"/>
              </w:rPr>
              <w:t>багатопрофільна</w:t>
            </w:r>
            <w:proofErr w:type="spellEnd"/>
            <w:r w:rsidRPr="00CB5A83">
              <w:rPr>
                <w:iCs/>
                <w:color w:val="000000"/>
                <w:sz w:val="18"/>
                <w:szCs w:val="18"/>
              </w:rPr>
              <w:t xml:space="preserve"> </w:t>
            </w:r>
            <w:proofErr w:type="spellStart"/>
            <w:r w:rsidRPr="00CB5A83">
              <w:rPr>
                <w:iCs/>
                <w:color w:val="000000"/>
                <w:sz w:val="18"/>
                <w:szCs w:val="18"/>
              </w:rPr>
              <w:t>міська</w:t>
            </w:r>
            <w:proofErr w:type="spellEnd"/>
            <w:r w:rsidRPr="00CB5A83">
              <w:rPr>
                <w:iCs/>
                <w:color w:val="000000"/>
                <w:sz w:val="18"/>
                <w:szCs w:val="18"/>
              </w:rPr>
              <w:t xml:space="preserve"> </w:t>
            </w:r>
            <w:proofErr w:type="spellStart"/>
            <w:r w:rsidRPr="00CB5A83">
              <w:rPr>
                <w:iCs/>
                <w:color w:val="000000"/>
                <w:sz w:val="18"/>
                <w:szCs w:val="18"/>
              </w:rPr>
              <w:t>лікарня</w:t>
            </w:r>
            <w:proofErr w:type="spellEnd"/>
            <w:r w:rsidRPr="00CB5A83">
              <w:rPr>
                <w:iCs/>
                <w:color w:val="000000"/>
                <w:sz w:val="18"/>
                <w:szCs w:val="18"/>
              </w:rPr>
              <w:t xml:space="preserve"> Ананьївської </w:t>
            </w:r>
            <w:proofErr w:type="spellStart"/>
            <w:r w:rsidRPr="00CB5A83">
              <w:rPr>
                <w:iCs/>
                <w:color w:val="000000"/>
                <w:sz w:val="18"/>
                <w:szCs w:val="18"/>
              </w:rPr>
              <w:t>міської</w:t>
            </w:r>
            <w:proofErr w:type="spellEnd"/>
            <w:r w:rsidRPr="00CB5A83">
              <w:rPr>
                <w:iCs/>
                <w:color w:val="000000"/>
                <w:sz w:val="18"/>
                <w:szCs w:val="18"/>
              </w:rPr>
              <w:t xml:space="preserve"> ради" за </w:t>
            </w:r>
            <w:proofErr w:type="spellStart"/>
            <w:r w:rsidRPr="00CB5A83">
              <w:rPr>
                <w:iCs/>
                <w:color w:val="000000"/>
                <w:sz w:val="18"/>
                <w:szCs w:val="18"/>
              </w:rPr>
              <w:t>адресою</w:t>
            </w:r>
            <w:proofErr w:type="spellEnd"/>
            <w:r w:rsidRPr="00CB5A83">
              <w:rPr>
                <w:iCs/>
                <w:color w:val="000000"/>
                <w:sz w:val="18"/>
                <w:szCs w:val="18"/>
              </w:rPr>
              <w:t xml:space="preserve">: </w:t>
            </w:r>
            <w:proofErr w:type="spellStart"/>
            <w:r w:rsidRPr="00CB5A83">
              <w:rPr>
                <w:iCs/>
                <w:color w:val="000000"/>
                <w:sz w:val="18"/>
                <w:szCs w:val="18"/>
              </w:rPr>
              <w:t>Одеська</w:t>
            </w:r>
            <w:proofErr w:type="spellEnd"/>
            <w:r w:rsidRPr="00CB5A83">
              <w:rPr>
                <w:iCs/>
                <w:color w:val="000000"/>
                <w:sz w:val="18"/>
                <w:szCs w:val="18"/>
              </w:rPr>
              <w:t xml:space="preserve"> область, </w:t>
            </w:r>
            <w:proofErr w:type="spellStart"/>
            <w:r w:rsidRPr="00CB5A83">
              <w:rPr>
                <w:iCs/>
                <w:color w:val="000000"/>
                <w:sz w:val="18"/>
                <w:szCs w:val="18"/>
              </w:rPr>
              <w:t>Подільський</w:t>
            </w:r>
            <w:proofErr w:type="spellEnd"/>
            <w:r w:rsidRPr="00CB5A83">
              <w:rPr>
                <w:iCs/>
                <w:color w:val="000000"/>
                <w:sz w:val="18"/>
                <w:szCs w:val="18"/>
              </w:rPr>
              <w:t xml:space="preserve"> район, </w:t>
            </w:r>
            <w:proofErr w:type="spellStart"/>
            <w:r w:rsidRPr="00CB5A83">
              <w:rPr>
                <w:iCs/>
                <w:color w:val="000000"/>
                <w:sz w:val="18"/>
                <w:szCs w:val="18"/>
              </w:rPr>
              <w:t>м</w:t>
            </w:r>
            <w:proofErr w:type="gramStart"/>
            <w:r w:rsidRPr="00CB5A83">
              <w:rPr>
                <w:iCs/>
                <w:color w:val="000000"/>
                <w:sz w:val="18"/>
                <w:szCs w:val="18"/>
              </w:rPr>
              <w:t>.А</w:t>
            </w:r>
            <w:proofErr w:type="gramEnd"/>
            <w:r w:rsidRPr="00CB5A83">
              <w:rPr>
                <w:iCs/>
                <w:color w:val="000000"/>
                <w:sz w:val="18"/>
                <w:szCs w:val="18"/>
              </w:rPr>
              <w:t>наньїв</w:t>
            </w:r>
            <w:proofErr w:type="spellEnd"/>
            <w:r w:rsidRPr="00CB5A83">
              <w:rPr>
                <w:iCs/>
                <w:color w:val="000000"/>
                <w:sz w:val="18"/>
                <w:szCs w:val="18"/>
              </w:rPr>
              <w:t xml:space="preserve">, </w:t>
            </w:r>
            <w:proofErr w:type="spellStart"/>
            <w:r w:rsidRPr="00CB5A83">
              <w:rPr>
                <w:iCs/>
                <w:color w:val="000000"/>
                <w:sz w:val="18"/>
                <w:szCs w:val="18"/>
              </w:rPr>
              <w:t>вулиця</w:t>
            </w:r>
            <w:proofErr w:type="spellEnd"/>
            <w:r w:rsidRPr="00CB5A83">
              <w:rPr>
                <w:iCs/>
                <w:color w:val="000000"/>
                <w:sz w:val="18"/>
                <w:szCs w:val="18"/>
              </w:rPr>
              <w:t xml:space="preserve"> </w:t>
            </w:r>
            <w:proofErr w:type="spellStart"/>
            <w:r w:rsidRPr="00CB5A83">
              <w:rPr>
                <w:iCs/>
                <w:color w:val="000000"/>
                <w:sz w:val="18"/>
                <w:szCs w:val="18"/>
              </w:rPr>
              <w:t>Героїв</w:t>
            </w:r>
            <w:proofErr w:type="spellEnd"/>
            <w:r w:rsidRPr="00CB5A83">
              <w:rPr>
                <w:iCs/>
                <w:color w:val="000000"/>
                <w:sz w:val="18"/>
                <w:szCs w:val="18"/>
              </w:rPr>
              <w:t xml:space="preserve"> </w:t>
            </w:r>
            <w:proofErr w:type="spellStart"/>
            <w:r w:rsidRPr="00CB5A83">
              <w:rPr>
                <w:iCs/>
                <w:color w:val="000000"/>
                <w:sz w:val="18"/>
                <w:szCs w:val="18"/>
              </w:rPr>
              <w:t>України</w:t>
            </w:r>
            <w:proofErr w:type="spellEnd"/>
            <w:r w:rsidRPr="00CB5A83">
              <w:rPr>
                <w:iCs/>
                <w:color w:val="000000"/>
                <w:sz w:val="18"/>
                <w:szCs w:val="18"/>
              </w:rPr>
              <w:t xml:space="preserve">, буд.45" </w:t>
            </w:r>
          </w:p>
        </w:tc>
        <w:tc>
          <w:tcPr>
            <w:tcW w:w="1682"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178217</w:t>
            </w:r>
          </w:p>
        </w:tc>
        <w:tc>
          <w:tcPr>
            <w:tcW w:w="160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r w:rsidRPr="00CD677D">
              <w:rPr>
                <w:sz w:val="18"/>
                <w:szCs w:val="18"/>
              </w:rPr>
              <w:t>178217</w:t>
            </w:r>
          </w:p>
        </w:tc>
        <w:tc>
          <w:tcPr>
            <w:tcW w:w="2320" w:type="dxa"/>
            <w:tcBorders>
              <w:top w:val="nil"/>
              <w:left w:val="nil"/>
              <w:bottom w:val="single" w:sz="4" w:space="0" w:color="auto"/>
              <w:right w:val="single" w:sz="4" w:space="0" w:color="auto"/>
            </w:tcBorders>
            <w:vAlign w:val="center"/>
            <w:hideMark/>
          </w:tcPr>
          <w:p w:rsidR="00CD677D" w:rsidRPr="00CD677D" w:rsidRDefault="00CD677D" w:rsidP="00CB1522">
            <w:pPr>
              <w:jc w:val="center"/>
              <w:rPr>
                <w:sz w:val="18"/>
                <w:szCs w:val="18"/>
              </w:rPr>
            </w:pPr>
            <w:proofErr w:type="spellStart"/>
            <w:r w:rsidRPr="00CD677D">
              <w:rPr>
                <w:sz w:val="18"/>
                <w:szCs w:val="18"/>
              </w:rPr>
              <w:t>обласний</w:t>
            </w:r>
            <w:proofErr w:type="spellEnd"/>
          </w:p>
        </w:tc>
      </w:tr>
      <w:tr w:rsidR="00CD677D" w:rsidRPr="00CD677D" w:rsidTr="00CD677D">
        <w:trPr>
          <w:trHeight w:val="315"/>
        </w:trPr>
        <w:tc>
          <w:tcPr>
            <w:tcW w:w="3860" w:type="dxa"/>
            <w:tcBorders>
              <w:top w:val="nil"/>
              <w:left w:val="single" w:sz="4" w:space="0" w:color="auto"/>
              <w:bottom w:val="nil"/>
              <w:right w:val="single" w:sz="4" w:space="0" w:color="auto"/>
            </w:tcBorders>
            <w:vAlign w:val="bottom"/>
            <w:hideMark/>
          </w:tcPr>
          <w:p w:rsidR="00CD677D" w:rsidRPr="00CD677D" w:rsidRDefault="00CD677D" w:rsidP="00CB1522">
            <w:pPr>
              <w:rPr>
                <w:b/>
                <w:bCs/>
                <w:i/>
                <w:iCs/>
                <w:sz w:val="18"/>
                <w:szCs w:val="18"/>
              </w:rPr>
            </w:pPr>
            <w:proofErr w:type="spellStart"/>
            <w:r w:rsidRPr="00CD677D">
              <w:rPr>
                <w:b/>
                <w:bCs/>
                <w:i/>
                <w:iCs/>
                <w:sz w:val="18"/>
                <w:szCs w:val="18"/>
              </w:rPr>
              <w:t>Всього</w:t>
            </w:r>
            <w:proofErr w:type="spellEnd"/>
            <w:r w:rsidRPr="00CD677D">
              <w:rPr>
                <w:b/>
                <w:bCs/>
                <w:i/>
                <w:iCs/>
                <w:sz w:val="18"/>
                <w:szCs w:val="18"/>
              </w:rPr>
              <w:t xml:space="preserve"> </w:t>
            </w:r>
          </w:p>
        </w:tc>
        <w:tc>
          <w:tcPr>
            <w:tcW w:w="1682" w:type="dxa"/>
            <w:tcBorders>
              <w:top w:val="nil"/>
              <w:left w:val="nil"/>
              <w:bottom w:val="nil"/>
              <w:right w:val="single" w:sz="4" w:space="0" w:color="auto"/>
            </w:tcBorders>
            <w:noWrap/>
            <w:vAlign w:val="center"/>
            <w:hideMark/>
          </w:tcPr>
          <w:p w:rsidR="00CD677D" w:rsidRPr="00CD677D" w:rsidRDefault="00CD677D" w:rsidP="00CB1522">
            <w:pPr>
              <w:jc w:val="center"/>
              <w:rPr>
                <w:b/>
                <w:bCs/>
                <w:sz w:val="18"/>
                <w:szCs w:val="18"/>
              </w:rPr>
            </w:pPr>
            <w:r w:rsidRPr="00CD677D">
              <w:rPr>
                <w:b/>
                <w:bCs/>
                <w:sz w:val="18"/>
                <w:szCs w:val="18"/>
              </w:rPr>
              <w:t>18315000</w:t>
            </w:r>
          </w:p>
        </w:tc>
        <w:tc>
          <w:tcPr>
            <w:tcW w:w="1600" w:type="dxa"/>
            <w:tcBorders>
              <w:top w:val="nil"/>
              <w:left w:val="nil"/>
              <w:bottom w:val="nil"/>
              <w:right w:val="single" w:sz="4" w:space="0" w:color="auto"/>
            </w:tcBorders>
            <w:noWrap/>
            <w:vAlign w:val="center"/>
            <w:hideMark/>
          </w:tcPr>
          <w:p w:rsidR="00CD677D" w:rsidRPr="00CD677D" w:rsidRDefault="00CD677D" w:rsidP="00CB1522">
            <w:pPr>
              <w:jc w:val="center"/>
              <w:rPr>
                <w:b/>
                <w:bCs/>
                <w:sz w:val="18"/>
                <w:szCs w:val="18"/>
              </w:rPr>
            </w:pPr>
            <w:r w:rsidRPr="00CD677D">
              <w:rPr>
                <w:b/>
                <w:bCs/>
                <w:sz w:val="18"/>
                <w:szCs w:val="18"/>
              </w:rPr>
              <w:t>18159037,01</w:t>
            </w:r>
          </w:p>
        </w:tc>
        <w:tc>
          <w:tcPr>
            <w:tcW w:w="2320" w:type="dxa"/>
            <w:tcBorders>
              <w:top w:val="nil"/>
              <w:left w:val="nil"/>
              <w:bottom w:val="nil"/>
              <w:right w:val="single" w:sz="4" w:space="0" w:color="auto"/>
            </w:tcBorders>
            <w:noWrap/>
            <w:vAlign w:val="bottom"/>
            <w:hideMark/>
          </w:tcPr>
          <w:p w:rsidR="00CD677D" w:rsidRPr="00CD677D" w:rsidRDefault="00CD677D" w:rsidP="00CB1522">
            <w:pPr>
              <w:jc w:val="center"/>
              <w:rPr>
                <w:b/>
                <w:bCs/>
                <w:sz w:val="18"/>
                <w:szCs w:val="18"/>
              </w:rPr>
            </w:pPr>
            <w:r w:rsidRPr="00CD677D">
              <w:rPr>
                <w:b/>
                <w:bCs/>
                <w:sz w:val="18"/>
                <w:szCs w:val="18"/>
              </w:rPr>
              <w:t>х</w:t>
            </w:r>
          </w:p>
        </w:tc>
      </w:tr>
      <w:tr w:rsidR="00CD677D" w:rsidRPr="00CD677D" w:rsidTr="00CD677D">
        <w:trPr>
          <w:trHeight w:val="315"/>
        </w:trPr>
        <w:tc>
          <w:tcPr>
            <w:tcW w:w="3860" w:type="dxa"/>
            <w:tcBorders>
              <w:top w:val="nil"/>
              <w:left w:val="single" w:sz="4" w:space="0" w:color="auto"/>
              <w:bottom w:val="single" w:sz="4" w:space="0" w:color="auto"/>
              <w:right w:val="single" w:sz="4" w:space="0" w:color="auto"/>
            </w:tcBorders>
            <w:vAlign w:val="bottom"/>
          </w:tcPr>
          <w:p w:rsidR="00CD677D" w:rsidRPr="00CD677D" w:rsidRDefault="00CD677D" w:rsidP="00CB1522">
            <w:pPr>
              <w:rPr>
                <w:b/>
                <w:bCs/>
                <w:i/>
                <w:iCs/>
                <w:sz w:val="18"/>
                <w:szCs w:val="18"/>
              </w:rPr>
            </w:pPr>
          </w:p>
        </w:tc>
        <w:tc>
          <w:tcPr>
            <w:tcW w:w="1682" w:type="dxa"/>
            <w:tcBorders>
              <w:top w:val="nil"/>
              <w:left w:val="nil"/>
              <w:bottom w:val="single" w:sz="4" w:space="0" w:color="auto"/>
              <w:right w:val="single" w:sz="4" w:space="0" w:color="auto"/>
            </w:tcBorders>
            <w:noWrap/>
            <w:vAlign w:val="center"/>
          </w:tcPr>
          <w:p w:rsidR="00CD677D" w:rsidRPr="00CD677D" w:rsidRDefault="00CD677D" w:rsidP="00CB1522">
            <w:pPr>
              <w:jc w:val="center"/>
              <w:rPr>
                <w:b/>
                <w:bCs/>
                <w:sz w:val="18"/>
                <w:szCs w:val="18"/>
              </w:rPr>
            </w:pPr>
          </w:p>
        </w:tc>
        <w:tc>
          <w:tcPr>
            <w:tcW w:w="1600" w:type="dxa"/>
            <w:tcBorders>
              <w:top w:val="nil"/>
              <w:left w:val="nil"/>
              <w:bottom w:val="single" w:sz="4" w:space="0" w:color="auto"/>
              <w:right w:val="single" w:sz="4" w:space="0" w:color="auto"/>
            </w:tcBorders>
            <w:noWrap/>
            <w:vAlign w:val="center"/>
          </w:tcPr>
          <w:p w:rsidR="00CD677D" w:rsidRPr="00CD677D" w:rsidRDefault="00CD677D" w:rsidP="00CB1522">
            <w:pPr>
              <w:jc w:val="center"/>
              <w:rPr>
                <w:b/>
                <w:bCs/>
                <w:sz w:val="18"/>
                <w:szCs w:val="18"/>
              </w:rPr>
            </w:pPr>
          </w:p>
        </w:tc>
        <w:tc>
          <w:tcPr>
            <w:tcW w:w="2320" w:type="dxa"/>
            <w:tcBorders>
              <w:top w:val="nil"/>
              <w:left w:val="nil"/>
              <w:bottom w:val="single" w:sz="4" w:space="0" w:color="auto"/>
              <w:right w:val="single" w:sz="4" w:space="0" w:color="auto"/>
            </w:tcBorders>
            <w:noWrap/>
            <w:vAlign w:val="bottom"/>
          </w:tcPr>
          <w:p w:rsidR="00CD677D" w:rsidRPr="00CD677D" w:rsidRDefault="00CD677D" w:rsidP="00CB1522">
            <w:pPr>
              <w:jc w:val="center"/>
              <w:rPr>
                <w:b/>
                <w:bCs/>
                <w:sz w:val="18"/>
                <w:szCs w:val="18"/>
              </w:rPr>
            </w:pPr>
          </w:p>
        </w:tc>
      </w:tr>
    </w:tbl>
    <w:p w:rsidR="00CD677D" w:rsidRPr="00CD677D" w:rsidRDefault="00CD677D" w:rsidP="00CD677D">
      <w:pPr>
        <w:jc w:val="both"/>
        <w:rPr>
          <w:b/>
          <w:spacing w:val="-2"/>
          <w:sz w:val="28"/>
          <w:szCs w:val="28"/>
          <w:highlight w:val="yellow"/>
          <w:lang w:val="uk-UA"/>
        </w:rPr>
      </w:pPr>
    </w:p>
    <w:p w:rsidR="00CD677D" w:rsidRPr="00CD677D" w:rsidRDefault="00CD677D" w:rsidP="00E300FA">
      <w:pPr>
        <w:jc w:val="center"/>
        <w:rPr>
          <w:b/>
          <w:spacing w:val="-2"/>
          <w:sz w:val="28"/>
          <w:szCs w:val="28"/>
          <w:lang w:val="uk-UA"/>
        </w:rPr>
      </w:pPr>
      <w:r w:rsidRPr="00CD677D">
        <w:rPr>
          <w:b/>
          <w:spacing w:val="-2"/>
          <w:sz w:val="28"/>
          <w:szCs w:val="28"/>
          <w:lang w:val="en-US"/>
        </w:rPr>
        <w:t>IV.</w:t>
      </w:r>
      <w:r w:rsidRPr="00CD677D">
        <w:rPr>
          <w:b/>
          <w:spacing w:val="-2"/>
          <w:sz w:val="28"/>
          <w:szCs w:val="28"/>
          <w:lang w:val="uk-UA"/>
        </w:rPr>
        <w:t>Заборгованість:</w:t>
      </w:r>
    </w:p>
    <w:p w:rsidR="00CD677D" w:rsidRPr="00CB5A83" w:rsidRDefault="00CD677D" w:rsidP="00CD677D">
      <w:pPr>
        <w:jc w:val="both"/>
        <w:rPr>
          <w:b/>
          <w:spacing w:val="-2"/>
          <w:highlight w:val="yellow"/>
          <w:lang w:val="uk-UA"/>
        </w:rPr>
      </w:pPr>
    </w:p>
    <w:p w:rsidR="00CD677D" w:rsidRPr="00CD677D" w:rsidRDefault="00CD677D" w:rsidP="00CB5A83">
      <w:pPr>
        <w:tabs>
          <w:tab w:val="left" w:pos="709"/>
        </w:tabs>
        <w:jc w:val="both"/>
        <w:rPr>
          <w:b/>
          <w:spacing w:val="-2"/>
          <w:sz w:val="28"/>
          <w:szCs w:val="28"/>
          <w:lang w:val="uk-UA"/>
        </w:rPr>
      </w:pPr>
      <w:r w:rsidRPr="00CD677D">
        <w:rPr>
          <w:spacing w:val="-2"/>
          <w:sz w:val="28"/>
          <w:szCs w:val="28"/>
          <w:lang w:val="uk-UA"/>
        </w:rPr>
        <w:tab/>
        <w:t xml:space="preserve">Прострочена кредиторська та дебіторська заборгованість по загальному та спеціальному фонду </w:t>
      </w:r>
      <w:r w:rsidRPr="00CD677D">
        <w:rPr>
          <w:b/>
          <w:spacing w:val="-2"/>
          <w:sz w:val="28"/>
          <w:szCs w:val="28"/>
          <w:lang w:val="uk-UA"/>
        </w:rPr>
        <w:t>відсутня.</w:t>
      </w:r>
    </w:p>
    <w:p w:rsidR="00CD677D" w:rsidRPr="00CB5A83" w:rsidRDefault="00CD677D" w:rsidP="00E300FA">
      <w:pPr>
        <w:numPr>
          <w:ilvl w:val="0"/>
          <w:numId w:val="3"/>
        </w:numPr>
        <w:ind w:left="1428"/>
        <w:rPr>
          <w:b/>
          <w:sz w:val="28"/>
          <w:szCs w:val="28"/>
          <w:lang w:val="uk-UA"/>
        </w:rPr>
      </w:pPr>
      <w:r w:rsidRPr="00CB5A83">
        <w:rPr>
          <w:b/>
          <w:sz w:val="28"/>
          <w:szCs w:val="28"/>
          <w:lang w:val="uk-UA"/>
        </w:rPr>
        <w:t>Загальний фонд:</w:t>
      </w:r>
    </w:p>
    <w:p w:rsidR="00CD677D" w:rsidRPr="00CD677D" w:rsidRDefault="00CD677D" w:rsidP="00CD677D">
      <w:pPr>
        <w:ind w:firstLine="708"/>
        <w:jc w:val="both"/>
        <w:rPr>
          <w:sz w:val="28"/>
          <w:szCs w:val="28"/>
        </w:rPr>
      </w:pPr>
      <w:r w:rsidRPr="00CD677D">
        <w:rPr>
          <w:sz w:val="28"/>
          <w:szCs w:val="28"/>
          <w:lang w:val="uk-UA"/>
        </w:rPr>
        <w:t xml:space="preserve">Станом на 01.01.2022 року кредиторська заборгованість по загальному фонду відсутня. </w:t>
      </w:r>
    </w:p>
    <w:p w:rsidR="00CD677D" w:rsidRPr="00CD677D" w:rsidRDefault="00CD677D" w:rsidP="00CD677D">
      <w:pPr>
        <w:ind w:firstLine="708"/>
        <w:jc w:val="both"/>
        <w:rPr>
          <w:sz w:val="28"/>
          <w:szCs w:val="28"/>
          <w:lang w:val="uk-UA"/>
        </w:rPr>
      </w:pPr>
      <w:r w:rsidRPr="00CD677D">
        <w:rPr>
          <w:sz w:val="28"/>
          <w:szCs w:val="28"/>
          <w:lang w:val="uk-UA"/>
        </w:rPr>
        <w:t>Дебіторська заборгованість:</w:t>
      </w:r>
    </w:p>
    <w:p w:rsidR="00CD677D" w:rsidRPr="00CD677D" w:rsidRDefault="00CD677D" w:rsidP="00CD677D">
      <w:pPr>
        <w:ind w:firstLine="708"/>
        <w:jc w:val="both"/>
        <w:rPr>
          <w:sz w:val="28"/>
          <w:szCs w:val="28"/>
          <w:lang w:val="uk-UA"/>
        </w:rPr>
      </w:pPr>
      <w:r w:rsidRPr="00CD677D">
        <w:rPr>
          <w:sz w:val="28"/>
          <w:szCs w:val="28"/>
          <w:lang w:val="uk-UA"/>
        </w:rPr>
        <w:t>- по КПКВ 0611141 (освіта) - 2706,00 грн.;</w:t>
      </w:r>
    </w:p>
    <w:p w:rsidR="00CD677D" w:rsidRPr="00CD677D" w:rsidRDefault="00CD677D" w:rsidP="00CD677D">
      <w:pPr>
        <w:ind w:firstLine="708"/>
        <w:jc w:val="both"/>
        <w:rPr>
          <w:sz w:val="28"/>
          <w:szCs w:val="28"/>
          <w:lang w:val="uk-UA"/>
        </w:rPr>
      </w:pPr>
      <w:r w:rsidRPr="00CD677D">
        <w:rPr>
          <w:sz w:val="28"/>
          <w:szCs w:val="28"/>
          <w:lang w:val="uk-UA"/>
        </w:rPr>
        <w:t xml:space="preserve">- по КПКВ 0713241 (соціальний захист) - 2759,47 грн.  </w:t>
      </w:r>
    </w:p>
    <w:p w:rsidR="00CD677D" w:rsidRPr="00CD677D" w:rsidRDefault="00CD677D" w:rsidP="00CD677D">
      <w:pPr>
        <w:jc w:val="both"/>
        <w:rPr>
          <w:sz w:val="28"/>
          <w:szCs w:val="28"/>
          <w:highlight w:val="yellow"/>
        </w:rPr>
      </w:pPr>
      <w:r w:rsidRPr="00CD677D">
        <w:rPr>
          <w:sz w:val="28"/>
          <w:szCs w:val="28"/>
          <w:lang w:val="uk-UA"/>
        </w:rPr>
        <w:t>Це передплата фахових видань, яка буде погашена по закінченню періоду підписки.</w:t>
      </w:r>
    </w:p>
    <w:p w:rsidR="00CD677D" w:rsidRPr="00CB5A83" w:rsidRDefault="00CD677D" w:rsidP="00CD677D">
      <w:pPr>
        <w:numPr>
          <w:ilvl w:val="0"/>
          <w:numId w:val="3"/>
        </w:numPr>
        <w:ind w:left="1428"/>
        <w:jc w:val="both"/>
        <w:rPr>
          <w:b/>
          <w:sz w:val="28"/>
          <w:szCs w:val="28"/>
          <w:lang w:val="en-US"/>
        </w:rPr>
      </w:pPr>
      <w:r w:rsidRPr="00CB5A83">
        <w:rPr>
          <w:b/>
          <w:sz w:val="28"/>
          <w:szCs w:val="28"/>
          <w:lang w:val="uk-UA"/>
        </w:rPr>
        <w:t>Спеціальний фонд:</w:t>
      </w:r>
    </w:p>
    <w:p w:rsidR="00CD677D" w:rsidRPr="00CD677D" w:rsidRDefault="00CD677D" w:rsidP="00CB5A83">
      <w:pPr>
        <w:ind w:firstLine="709"/>
        <w:jc w:val="both"/>
        <w:rPr>
          <w:sz w:val="28"/>
          <w:szCs w:val="28"/>
          <w:lang w:val="uk-UA"/>
        </w:rPr>
      </w:pPr>
      <w:r w:rsidRPr="00CD677D">
        <w:rPr>
          <w:sz w:val="28"/>
          <w:szCs w:val="28"/>
          <w:lang w:val="uk-UA"/>
        </w:rPr>
        <w:t xml:space="preserve">Станом на 01.01.2022 року наявна кредиторська заборгованість по КПКВ 1011070 (надання позашкільної освіти закладами позашкільної освіти, заходи із позашкільної роботи з дітьми) в сумі 965,00 грн. (утворилась за рахунок переплати по батьківський платі). </w:t>
      </w:r>
    </w:p>
    <w:p w:rsidR="00CD677D" w:rsidRPr="00CD677D" w:rsidRDefault="00CD677D" w:rsidP="00CB5A83">
      <w:pPr>
        <w:ind w:firstLine="709"/>
        <w:jc w:val="both"/>
        <w:rPr>
          <w:sz w:val="28"/>
          <w:szCs w:val="28"/>
          <w:lang w:val="uk-UA"/>
        </w:rPr>
      </w:pPr>
      <w:r w:rsidRPr="00CD677D">
        <w:rPr>
          <w:sz w:val="28"/>
          <w:szCs w:val="28"/>
          <w:lang w:val="uk-UA"/>
        </w:rPr>
        <w:t xml:space="preserve">Дебіторська заборгованість по: </w:t>
      </w:r>
    </w:p>
    <w:p w:rsidR="00CD677D" w:rsidRPr="00CD677D" w:rsidRDefault="00E300FA" w:rsidP="00CB5A83">
      <w:pPr>
        <w:ind w:firstLine="709"/>
        <w:jc w:val="both"/>
        <w:rPr>
          <w:sz w:val="28"/>
          <w:szCs w:val="28"/>
          <w:lang w:val="uk-UA"/>
        </w:rPr>
      </w:pPr>
      <w:r>
        <w:rPr>
          <w:sz w:val="28"/>
          <w:szCs w:val="28"/>
          <w:lang w:val="uk-UA"/>
        </w:rPr>
        <w:t xml:space="preserve">- </w:t>
      </w:r>
      <w:r w:rsidR="00CD677D" w:rsidRPr="00CD677D">
        <w:rPr>
          <w:sz w:val="28"/>
          <w:szCs w:val="28"/>
          <w:lang w:val="uk-UA"/>
        </w:rPr>
        <w:t>КПКВ 0611010 (надання дошкільної освіти)  – 91672,11 грн.;</w:t>
      </w:r>
    </w:p>
    <w:p w:rsidR="00CD677D" w:rsidRPr="00CD677D" w:rsidRDefault="00CD677D" w:rsidP="00CB5A83">
      <w:pPr>
        <w:ind w:firstLine="709"/>
        <w:jc w:val="both"/>
        <w:rPr>
          <w:sz w:val="28"/>
          <w:szCs w:val="28"/>
          <w:lang w:val="uk-UA"/>
        </w:rPr>
      </w:pPr>
      <w:r w:rsidRPr="00CD677D">
        <w:rPr>
          <w:sz w:val="28"/>
          <w:szCs w:val="28"/>
          <w:lang w:val="uk-UA"/>
        </w:rPr>
        <w:lastRenderedPageBreak/>
        <w:t xml:space="preserve">- КПКВ 0611021 (надання загальної середньої освіти закладами загальної середньої освіти) – 23613,32 грн. </w:t>
      </w:r>
    </w:p>
    <w:p w:rsidR="00CD677D" w:rsidRPr="00CD677D" w:rsidRDefault="00CD677D" w:rsidP="00CD677D">
      <w:pPr>
        <w:ind w:firstLine="708"/>
        <w:jc w:val="both"/>
        <w:rPr>
          <w:sz w:val="28"/>
          <w:szCs w:val="28"/>
          <w:lang w:val="uk-UA"/>
        </w:rPr>
      </w:pPr>
      <w:r w:rsidRPr="00CD677D">
        <w:rPr>
          <w:sz w:val="28"/>
          <w:szCs w:val="28"/>
          <w:lang w:val="uk-UA"/>
        </w:rPr>
        <w:t>Дебіторська заборгованість зумовлена заборгованістю по батьківській платі. З метою недопущення прострочення дебіторської заборгованості відповідними розпорядниками ведеться робота по стягненню боргів з батьківської плати та погашення зазначеної заборгованості  протягом наступного з</w:t>
      </w:r>
      <w:r w:rsidR="00CB5A83">
        <w:rPr>
          <w:sz w:val="28"/>
          <w:szCs w:val="28"/>
          <w:lang w:val="uk-UA"/>
        </w:rPr>
        <w:t xml:space="preserve">вітного періоду, тобто до 01 лютого </w:t>
      </w:r>
      <w:r w:rsidRPr="00CD677D">
        <w:rPr>
          <w:sz w:val="28"/>
          <w:szCs w:val="28"/>
          <w:lang w:val="uk-UA"/>
        </w:rPr>
        <w:t xml:space="preserve">2022 року. Дебіторська заборгованість по КПКВ 0713241 (соціальний захист) в сумі 418,00 грн. та по КПКВ 0611021 в сумі 695,00 грн. – це передплата фахових журналів.  </w:t>
      </w:r>
    </w:p>
    <w:p w:rsidR="00CD677D" w:rsidRPr="00CD677D" w:rsidRDefault="00CD677D" w:rsidP="00CD677D">
      <w:pPr>
        <w:ind w:firstLine="708"/>
        <w:jc w:val="both"/>
        <w:rPr>
          <w:spacing w:val="-2"/>
          <w:sz w:val="28"/>
          <w:szCs w:val="28"/>
          <w:lang w:val="uk-UA"/>
        </w:rPr>
      </w:pPr>
      <w:r w:rsidRPr="00CD677D">
        <w:rPr>
          <w:spacing w:val="-2"/>
          <w:sz w:val="28"/>
          <w:szCs w:val="28"/>
          <w:lang w:val="uk-UA"/>
        </w:rPr>
        <w:t>З метою погашення кредиторської заборгованості і недопущення накопичення простроченої дебіторської заборгованості, постійно контролюється своєчасність фінансування заявлених потреб розпорядників у коштах місцевого бюджету відповідно кошторисних призначень та забезпечений внутрішній контроль за повнотою надходжень, взяттям бюджетних зобов’язань розпорядниками бюджетних коштів нижчого рівня та одержувачами бюджетних коштів.</w:t>
      </w:r>
    </w:p>
    <w:p w:rsidR="00CD677D" w:rsidRPr="00CB5A83" w:rsidRDefault="00CD677D" w:rsidP="00CD677D">
      <w:pPr>
        <w:ind w:firstLine="708"/>
        <w:jc w:val="both"/>
        <w:rPr>
          <w:spacing w:val="-2"/>
          <w:lang w:val="uk-UA"/>
        </w:rPr>
      </w:pPr>
    </w:p>
    <w:p w:rsidR="00CD677D" w:rsidRDefault="00CD677D" w:rsidP="00E300FA">
      <w:pPr>
        <w:jc w:val="center"/>
        <w:rPr>
          <w:b/>
          <w:spacing w:val="-2"/>
          <w:sz w:val="28"/>
          <w:szCs w:val="28"/>
          <w:lang w:val="uk-UA"/>
        </w:rPr>
      </w:pPr>
      <w:r w:rsidRPr="00CD677D">
        <w:rPr>
          <w:b/>
          <w:spacing w:val="-2"/>
          <w:sz w:val="28"/>
          <w:szCs w:val="28"/>
          <w:lang w:val="uk-UA"/>
        </w:rPr>
        <w:t>V.  Фінансування.</w:t>
      </w:r>
    </w:p>
    <w:p w:rsidR="00CB5A83" w:rsidRPr="00CB5A83" w:rsidRDefault="00CB5A83" w:rsidP="00CD677D">
      <w:pPr>
        <w:jc w:val="both"/>
        <w:rPr>
          <w:b/>
          <w:spacing w:val="-2"/>
          <w:lang w:val="uk-UA"/>
        </w:rPr>
      </w:pPr>
    </w:p>
    <w:p w:rsidR="00CD677D" w:rsidRPr="00CD677D" w:rsidRDefault="00CD677D" w:rsidP="00CD677D">
      <w:pPr>
        <w:ind w:firstLine="708"/>
        <w:jc w:val="both"/>
        <w:rPr>
          <w:spacing w:val="-2"/>
          <w:sz w:val="28"/>
          <w:szCs w:val="28"/>
          <w:lang w:val="uk-UA"/>
        </w:rPr>
      </w:pPr>
      <w:r w:rsidRPr="00CD677D">
        <w:rPr>
          <w:spacing w:val="-2"/>
          <w:sz w:val="28"/>
          <w:szCs w:val="28"/>
          <w:lang w:val="uk-UA"/>
        </w:rPr>
        <w:t>Розписом видатків на 2021 рік передбачено дефіцит загального фонду місцевого бюджету з урахуванням суми міжбюджетних трансфертів в розмірі      5 357 311,36 грн., джерелом покриття якого планувався залишок бюджетних коштів на початок року. Фактично профіцит загальног</w:t>
      </w:r>
      <w:r w:rsidR="00CB5A83">
        <w:rPr>
          <w:spacing w:val="-2"/>
          <w:sz w:val="28"/>
          <w:szCs w:val="28"/>
          <w:lang w:val="uk-UA"/>
        </w:rPr>
        <w:t xml:space="preserve">о фонду склав 4435914,98 грн.  </w:t>
      </w:r>
      <w:r w:rsidRPr="00CD677D">
        <w:rPr>
          <w:spacing w:val="-2"/>
          <w:sz w:val="28"/>
          <w:szCs w:val="28"/>
          <w:lang w:val="uk-UA"/>
        </w:rPr>
        <w:t xml:space="preserve"> </w:t>
      </w:r>
    </w:p>
    <w:p w:rsidR="00CD677D" w:rsidRPr="00CD677D" w:rsidRDefault="00CD677D" w:rsidP="00CD677D">
      <w:pPr>
        <w:jc w:val="both"/>
        <w:rPr>
          <w:spacing w:val="-2"/>
          <w:sz w:val="28"/>
          <w:szCs w:val="28"/>
          <w:lang w:val="uk-UA"/>
        </w:rPr>
      </w:pPr>
      <w:r w:rsidRPr="00CD677D">
        <w:rPr>
          <w:spacing w:val="-2"/>
          <w:sz w:val="28"/>
          <w:szCs w:val="28"/>
          <w:lang w:val="uk-UA"/>
        </w:rPr>
        <w:tab/>
        <w:t>Розписом видатків на 2021 рік передбачений дефіцит спеціального фонду місцевого бюджету з урахуванням суми міжбюдже</w:t>
      </w:r>
      <w:r w:rsidR="00CB5A83">
        <w:rPr>
          <w:spacing w:val="-2"/>
          <w:sz w:val="28"/>
          <w:szCs w:val="28"/>
          <w:lang w:val="uk-UA"/>
        </w:rPr>
        <w:t>тних трансфертів в розмірі</w:t>
      </w:r>
      <w:r w:rsidRPr="00CD677D">
        <w:rPr>
          <w:spacing w:val="-2"/>
          <w:sz w:val="28"/>
          <w:szCs w:val="28"/>
          <w:lang w:val="uk-UA"/>
        </w:rPr>
        <w:t xml:space="preserve"> 5 426 473,98 грн. джерелом покриття якого є залишок бюджетних коштів на початок року та кошти із загального фонду бюджету. Фактично дефіцит спеціального фонду бюджету склав -</w:t>
      </w:r>
      <w:r w:rsidR="00CB5A83">
        <w:rPr>
          <w:spacing w:val="-2"/>
          <w:sz w:val="28"/>
          <w:szCs w:val="28"/>
          <w:lang w:val="uk-UA"/>
        </w:rPr>
        <w:t xml:space="preserve"> </w:t>
      </w:r>
      <w:r w:rsidRPr="00CD677D">
        <w:rPr>
          <w:spacing w:val="-2"/>
          <w:sz w:val="28"/>
          <w:szCs w:val="28"/>
          <w:lang w:val="uk-UA"/>
        </w:rPr>
        <w:t>4 277 008,68 грн.</w:t>
      </w:r>
    </w:p>
    <w:p w:rsidR="00CD677D" w:rsidRPr="00CD677D" w:rsidRDefault="00CD677D" w:rsidP="00CD677D">
      <w:pPr>
        <w:ind w:firstLine="708"/>
        <w:jc w:val="both"/>
        <w:rPr>
          <w:spacing w:val="-2"/>
          <w:sz w:val="28"/>
          <w:szCs w:val="28"/>
          <w:lang w:val="uk-UA"/>
        </w:rPr>
      </w:pPr>
      <w:r w:rsidRPr="00CD677D">
        <w:rPr>
          <w:spacing w:val="-2"/>
          <w:sz w:val="28"/>
          <w:szCs w:val="28"/>
          <w:lang w:val="uk-UA"/>
        </w:rPr>
        <w:t>В головному управлінні Державної казначейської служби позика на покриття тимчасових касових розривів місцевих бюджетів не отримувалась.</w:t>
      </w:r>
    </w:p>
    <w:p w:rsidR="00CD677D" w:rsidRPr="00CD677D" w:rsidRDefault="00CD677D" w:rsidP="00CD677D">
      <w:pPr>
        <w:jc w:val="both"/>
        <w:rPr>
          <w:spacing w:val="-2"/>
          <w:sz w:val="28"/>
          <w:szCs w:val="28"/>
          <w:lang w:val="uk-UA"/>
        </w:rPr>
      </w:pPr>
      <w:r w:rsidRPr="00CD677D">
        <w:rPr>
          <w:spacing w:val="-2"/>
          <w:sz w:val="28"/>
          <w:szCs w:val="28"/>
          <w:lang w:val="uk-UA"/>
        </w:rPr>
        <w:tab/>
        <w:t>Кошти на вклади депозитних рахунків протягом звітного періоду 2021 року не розміщувались.</w:t>
      </w:r>
    </w:p>
    <w:p w:rsidR="00AD0ED5" w:rsidRPr="00CB5A83" w:rsidRDefault="00AD0ED5" w:rsidP="00CD677D">
      <w:pPr>
        <w:jc w:val="both"/>
        <w:rPr>
          <w:b/>
          <w:spacing w:val="-2"/>
          <w:highlight w:val="cyan"/>
          <w:lang w:val="uk-UA"/>
        </w:rPr>
      </w:pPr>
    </w:p>
    <w:p w:rsidR="00AD0ED5" w:rsidRDefault="00CD677D" w:rsidP="00E300FA">
      <w:pPr>
        <w:jc w:val="center"/>
        <w:rPr>
          <w:b/>
          <w:spacing w:val="-2"/>
          <w:sz w:val="28"/>
          <w:szCs w:val="28"/>
          <w:lang w:val="uk-UA"/>
        </w:rPr>
      </w:pPr>
      <w:r w:rsidRPr="00CD677D">
        <w:rPr>
          <w:b/>
          <w:spacing w:val="-2"/>
          <w:sz w:val="28"/>
          <w:szCs w:val="28"/>
        </w:rPr>
        <w:t>V</w:t>
      </w:r>
      <w:r w:rsidRPr="00CD677D">
        <w:rPr>
          <w:b/>
          <w:spacing w:val="-2"/>
          <w:sz w:val="28"/>
          <w:szCs w:val="28"/>
          <w:lang w:val="uk-UA"/>
        </w:rPr>
        <w:t>І</w:t>
      </w:r>
      <w:r w:rsidRPr="00CD677D">
        <w:rPr>
          <w:b/>
          <w:spacing w:val="-2"/>
          <w:sz w:val="28"/>
          <w:szCs w:val="28"/>
        </w:rPr>
        <w:t>.</w:t>
      </w:r>
      <w:r w:rsidRPr="00CD677D">
        <w:rPr>
          <w:b/>
          <w:spacing w:val="-2"/>
          <w:sz w:val="28"/>
          <w:szCs w:val="28"/>
          <w:lang w:val="uk-UA"/>
        </w:rPr>
        <w:t xml:space="preserve"> </w:t>
      </w:r>
      <w:proofErr w:type="spellStart"/>
      <w:r w:rsidR="00CB5A83">
        <w:rPr>
          <w:b/>
          <w:spacing w:val="-2"/>
          <w:sz w:val="28"/>
          <w:szCs w:val="28"/>
        </w:rPr>
        <w:t>Між</w:t>
      </w:r>
      <w:proofErr w:type="spellEnd"/>
      <w:r w:rsidR="00CB5A83">
        <w:rPr>
          <w:b/>
          <w:spacing w:val="-2"/>
          <w:sz w:val="28"/>
          <w:szCs w:val="28"/>
          <w:lang w:val="uk-UA"/>
        </w:rPr>
        <w:t>б</w:t>
      </w:r>
      <w:proofErr w:type="spellStart"/>
      <w:r w:rsidR="00AD0ED5">
        <w:rPr>
          <w:b/>
          <w:spacing w:val="-2"/>
          <w:sz w:val="28"/>
          <w:szCs w:val="28"/>
        </w:rPr>
        <w:t>юджетні</w:t>
      </w:r>
      <w:proofErr w:type="spellEnd"/>
      <w:r w:rsidR="00AD0ED5">
        <w:rPr>
          <w:b/>
          <w:spacing w:val="-2"/>
          <w:sz w:val="28"/>
          <w:szCs w:val="28"/>
        </w:rPr>
        <w:t xml:space="preserve"> </w:t>
      </w:r>
      <w:proofErr w:type="spellStart"/>
      <w:r w:rsidR="00AD0ED5">
        <w:rPr>
          <w:b/>
          <w:spacing w:val="-2"/>
          <w:sz w:val="28"/>
          <w:szCs w:val="28"/>
        </w:rPr>
        <w:t>трасфер</w:t>
      </w:r>
      <w:proofErr w:type="spellEnd"/>
      <w:r w:rsidR="00AD0ED5">
        <w:rPr>
          <w:b/>
          <w:spacing w:val="-2"/>
          <w:sz w:val="28"/>
          <w:szCs w:val="28"/>
          <w:lang w:val="uk-UA"/>
        </w:rPr>
        <w:t>т</w:t>
      </w:r>
      <w:r w:rsidRPr="00CD677D">
        <w:rPr>
          <w:b/>
          <w:spacing w:val="-2"/>
          <w:sz w:val="28"/>
          <w:szCs w:val="28"/>
        </w:rPr>
        <w:t>и.</w:t>
      </w:r>
    </w:p>
    <w:p w:rsidR="00AD0ED5" w:rsidRPr="00444606" w:rsidRDefault="00AD0ED5" w:rsidP="00AD0ED5">
      <w:pPr>
        <w:jc w:val="both"/>
        <w:rPr>
          <w:b/>
          <w:spacing w:val="-2"/>
          <w:lang w:val="uk-UA"/>
        </w:rPr>
      </w:pPr>
    </w:p>
    <w:p w:rsidR="00CD677D" w:rsidRPr="00CD677D" w:rsidRDefault="00AD0ED5" w:rsidP="00AD0ED5">
      <w:pPr>
        <w:jc w:val="both"/>
        <w:rPr>
          <w:sz w:val="28"/>
          <w:szCs w:val="28"/>
          <w:lang w:val="uk-UA"/>
        </w:rPr>
      </w:pPr>
      <w:r>
        <w:rPr>
          <w:b/>
          <w:sz w:val="28"/>
          <w:szCs w:val="28"/>
          <w:lang w:val="uk-UA"/>
        </w:rPr>
        <w:t xml:space="preserve">         </w:t>
      </w:r>
      <w:r w:rsidR="00CD677D" w:rsidRPr="00CD677D">
        <w:rPr>
          <w:sz w:val="28"/>
          <w:szCs w:val="28"/>
          <w:lang w:val="uk-UA"/>
        </w:rPr>
        <w:t xml:space="preserve"> Офіційних трансфертів отримано </w:t>
      </w:r>
      <w:proofErr w:type="spellStart"/>
      <w:r w:rsidR="00CD677D" w:rsidRPr="00CD677D">
        <w:rPr>
          <w:spacing w:val="-2"/>
          <w:sz w:val="28"/>
          <w:szCs w:val="28"/>
        </w:rPr>
        <w:t>протягом</w:t>
      </w:r>
      <w:proofErr w:type="spellEnd"/>
      <w:r w:rsidR="00CD677D" w:rsidRPr="00CD677D">
        <w:rPr>
          <w:spacing w:val="-2"/>
          <w:sz w:val="28"/>
          <w:szCs w:val="28"/>
        </w:rPr>
        <w:t xml:space="preserve"> </w:t>
      </w:r>
      <w:r w:rsidR="00CD677D" w:rsidRPr="00CD677D">
        <w:rPr>
          <w:spacing w:val="-2"/>
          <w:sz w:val="28"/>
          <w:szCs w:val="28"/>
          <w:lang w:val="uk-UA"/>
        </w:rPr>
        <w:t>ІV кварталу</w:t>
      </w:r>
      <w:r w:rsidR="00CD677D" w:rsidRPr="00CD677D">
        <w:rPr>
          <w:spacing w:val="-2"/>
          <w:sz w:val="28"/>
          <w:szCs w:val="28"/>
        </w:rPr>
        <w:t xml:space="preserve"> 2021 року</w:t>
      </w:r>
      <w:r w:rsidR="00CD677D" w:rsidRPr="00CD677D">
        <w:rPr>
          <w:sz w:val="28"/>
          <w:szCs w:val="28"/>
          <w:lang w:val="uk-UA"/>
        </w:rPr>
        <w:t xml:space="preserve"> у сумі 21360,74 тис. грн. (з урахуванням повернення державному бюджету частини коштів раніше отриманих субвенцій), що складає 100,0% планових призначень. </w:t>
      </w:r>
    </w:p>
    <w:p w:rsidR="00CD677D" w:rsidRPr="00CD677D" w:rsidRDefault="00CD677D" w:rsidP="00CD677D">
      <w:pPr>
        <w:jc w:val="both"/>
        <w:rPr>
          <w:b/>
          <w:sz w:val="28"/>
          <w:szCs w:val="28"/>
          <w:lang w:val="uk-UA"/>
        </w:rPr>
      </w:pPr>
      <w:r w:rsidRPr="00CD677D">
        <w:rPr>
          <w:sz w:val="28"/>
          <w:szCs w:val="28"/>
          <w:lang w:val="uk-UA"/>
        </w:rPr>
        <w:tab/>
      </w:r>
      <w:r w:rsidRPr="00CD677D">
        <w:rPr>
          <w:b/>
          <w:sz w:val="28"/>
          <w:szCs w:val="28"/>
          <w:lang w:val="uk-UA"/>
        </w:rPr>
        <w:t>Надійшло:</w:t>
      </w:r>
    </w:p>
    <w:p w:rsidR="00CD677D" w:rsidRPr="00CD677D" w:rsidRDefault="00CB5A83" w:rsidP="00CB5A83">
      <w:pPr>
        <w:tabs>
          <w:tab w:val="left" w:pos="709"/>
        </w:tabs>
        <w:jc w:val="both"/>
        <w:rPr>
          <w:sz w:val="28"/>
          <w:szCs w:val="28"/>
          <w:lang w:val="uk-UA"/>
        </w:rPr>
      </w:pPr>
      <w:r>
        <w:rPr>
          <w:sz w:val="28"/>
          <w:szCs w:val="28"/>
          <w:lang w:val="uk-UA"/>
        </w:rPr>
        <w:t xml:space="preserve">          </w:t>
      </w:r>
      <w:r w:rsidR="00CD677D" w:rsidRPr="00CD677D">
        <w:rPr>
          <w:sz w:val="28"/>
          <w:szCs w:val="28"/>
          <w:lang w:val="uk-UA"/>
        </w:rPr>
        <w:t>- Освітня субвенція з державного бюджету місцевим бюджетам –                      16374,90 тис. грн.;</w:t>
      </w:r>
    </w:p>
    <w:p w:rsidR="00CD677D" w:rsidRPr="00CD677D" w:rsidRDefault="00CB5A83" w:rsidP="00CD677D">
      <w:pPr>
        <w:jc w:val="both"/>
        <w:rPr>
          <w:sz w:val="28"/>
          <w:szCs w:val="28"/>
          <w:lang w:val="uk-UA"/>
        </w:rPr>
      </w:pPr>
      <w:r>
        <w:rPr>
          <w:sz w:val="28"/>
          <w:szCs w:val="28"/>
          <w:lang w:val="uk-UA"/>
        </w:rPr>
        <w:t xml:space="preserve">          </w:t>
      </w:r>
      <w:r w:rsidR="00CD677D" w:rsidRPr="00CD677D">
        <w:rPr>
          <w:sz w:val="28"/>
          <w:szCs w:val="28"/>
          <w:lang w:val="uk-UA"/>
        </w:rPr>
        <w:t>- Базова дотація – 3654,10 тис. грн.;</w:t>
      </w:r>
    </w:p>
    <w:p w:rsidR="00CD677D" w:rsidRPr="00CD677D" w:rsidRDefault="00CB5A83" w:rsidP="00CD677D">
      <w:pPr>
        <w:tabs>
          <w:tab w:val="left" w:pos="5380"/>
        </w:tabs>
        <w:jc w:val="both"/>
        <w:rPr>
          <w:sz w:val="28"/>
          <w:szCs w:val="28"/>
          <w:lang w:val="uk-UA"/>
        </w:rPr>
      </w:pPr>
      <w:r>
        <w:rPr>
          <w:sz w:val="28"/>
          <w:szCs w:val="28"/>
          <w:lang w:val="uk-UA"/>
        </w:rPr>
        <w:lastRenderedPageBreak/>
        <w:t xml:space="preserve">          -</w:t>
      </w:r>
      <w:r w:rsidR="00CD677D" w:rsidRPr="00CD677D">
        <w:rPr>
          <w:sz w:val="28"/>
          <w:szCs w:val="28"/>
          <w:lang w:val="uk-UA"/>
        </w:rPr>
        <w:t xml:space="preserve"> Субвенція з місцевого бюджету на здійснення переданих видатків у сфері освіти за рахунок коштів освітньої субвенції – 240,0 тис. грн. (100% до плану);</w:t>
      </w:r>
    </w:p>
    <w:p w:rsidR="00CD677D" w:rsidRPr="00CD677D" w:rsidRDefault="00CB5A83" w:rsidP="00CD677D">
      <w:pPr>
        <w:tabs>
          <w:tab w:val="left" w:pos="5380"/>
        </w:tabs>
        <w:jc w:val="both"/>
        <w:rPr>
          <w:sz w:val="28"/>
          <w:szCs w:val="28"/>
          <w:lang w:val="uk-UA"/>
        </w:rPr>
      </w:pPr>
      <w:r>
        <w:rPr>
          <w:sz w:val="28"/>
          <w:szCs w:val="28"/>
          <w:lang w:val="uk-UA"/>
        </w:rPr>
        <w:t xml:space="preserve">         </w:t>
      </w:r>
      <w:r w:rsidR="00CD677D" w:rsidRPr="00CD677D">
        <w:rPr>
          <w:sz w:val="28"/>
          <w:szCs w:val="28"/>
          <w:lang w:val="uk-UA"/>
        </w:rPr>
        <w:t xml:space="preserve">-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 80,79 тис. грн.; </w:t>
      </w:r>
    </w:p>
    <w:p w:rsidR="00CD677D" w:rsidRPr="00CD677D" w:rsidRDefault="00CB5A83" w:rsidP="00CD677D">
      <w:pPr>
        <w:tabs>
          <w:tab w:val="left" w:pos="5380"/>
        </w:tabs>
        <w:jc w:val="both"/>
        <w:rPr>
          <w:sz w:val="28"/>
          <w:szCs w:val="28"/>
          <w:lang w:val="uk-UA"/>
        </w:rPr>
      </w:pPr>
      <w:r>
        <w:rPr>
          <w:sz w:val="28"/>
          <w:szCs w:val="28"/>
          <w:lang w:val="uk-UA"/>
        </w:rPr>
        <w:t xml:space="preserve">         </w:t>
      </w:r>
      <w:r w:rsidR="00CD677D" w:rsidRPr="00CD677D">
        <w:rPr>
          <w:sz w:val="28"/>
          <w:szCs w:val="28"/>
          <w:lang w:val="uk-UA"/>
        </w:rPr>
        <w:t>- Субвенція з місцевого бюджету на проектні, будівельно</w:t>
      </w:r>
      <w:r>
        <w:rPr>
          <w:sz w:val="28"/>
          <w:szCs w:val="28"/>
          <w:lang w:val="uk-UA"/>
        </w:rPr>
        <w:t>-</w:t>
      </w:r>
      <w:r w:rsidR="00CD677D" w:rsidRPr="00CD677D">
        <w:rPr>
          <w:sz w:val="28"/>
          <w:szCs w:val="28"/>
          <w:lang w:val="uk-UA"/>
        </w:rPr>
        <w:t>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 рахунок відповідної субвенції з державного бюджету – 1000,61 тис.</w:t>
      </w:r>
      <w:r>
        <w:rPr>
          <w:sz w:val="28"/>
          <w:szCs w:val="28"/>
          <w:lang w:val="uk-UA"/>
        </w:rPr>
        <w:t xml:space="preserve"> </w:t>
      </w:r>
      <w:r w:rsidR="00CD677D" w:rsidRPr="00CD677D">
        <w:rPr>
          <w:sz w:val="28"/>
          <w:szCs w:val="28"/>
          <w:lang w:val="uk-UA"/>
        </w:rPr>
        <w:t>грн.;</w:t>
      </w:r>
    </w:p>
    <w:p w:rsidR="00CD677D" w:rsidRPr="00CD677D" w:rsidRDefault="00CD677D" w:rsidP="00CD677D">
      <w:pPr>
        <w:tabs>
          <w:tab w:val="left" w:pos="5380"/>
        </w:tabs>
        <w:jc w:val="both"/>
        <w:rPr>
          <w:spacing w:val="-2"/>
          <w:sz w:val="28"/>
          <w:szCs w:val="28"/>
          <w:lang w:val="uk-UA"/>
        </w:rPr>
      </w:pPr>
      <w:r w:rsidRPr="00CD677D">
        <w:rPr>
          <w:sz w:val="28"/>
          <w:szCs w:val="28"/>
          <w:lang w:val="uk-UA"/>
        </w:rPr>
        <w:t xml:space="preserve">- </w:t>
      </w:r>
      <w:r w:rsidRPr="00CD677D">
        <w:rPr>
          <w:spacing w:val="-2"/>
          <w:sz w:val="28"/>
          <w:szCs w:val="28"/>
          <w:lang w:val="uk-UA"/>
        </w:rPr>
        <w:t>інші субвенції з місцевого бюджету – 200,60 тис.</w:t>
      </w:r>
      <w:r w:rsidR="00CB5A83">
        <w:rPr>
          <w:spacing w:val="-2"/>
          <w:sz w:val="28"/>
          <w:szCs w:val="28"/>
          <w:lang w:val="uk-UA"/>
        </w:rPr>
        <w:t xml:space="preserve"> </w:t>
      </w:r>
      <w:r w:rsidRPr="00CD677D">
        <w:rPr>
          <w:spacing w:val="-2"/>
          <w:sz w:val="28"/>
          <w:szCs w:val="28"/>
          <w:lang w:val="uk-UA"/>
        </w:rPr>
        <w:t>грн.</w:t>
      </w:r>
    </w:p>
    <w:p w:rsidR="00CD677D" w:rsidRPr="00CD677D" w:rsidRDefault="00CD677D" w:rsidP="00CD677D">
      <w:pPr>
        <w:tabs>
          <w:tab w:val="left" w:pos="709"/>
        </w:tabs>
        <w:jc w:val="both"/>
        <w:rPr>
          <w:b/>
          <w:spacing w:val="-2"/>
          <w:sz w:val="28"/>
          <w:szCs w:val="28"/>
          <w:lang w:val="uk-UA"/>
        </w:rPr>
      </w:pPr>
      <w:r w:rsidRPr="00CD677D">
        <w:rPr>
          <w:spacing w:val="-2"/>
          <w:sz w:val="28"/>
          <w:szCs w:val="28"/>
          <w:lang w:val="uk-UA"/>
        </w:rPr>
        <w:tab/>
      </w:r>
      <w:r w:rsidRPr="00CD677D">
        <w:rPr>
          <w:b/>
          <w:spacing w:val="-2"/>
          <w:sz w:val="28"/>
          <w:szCs w:val="28"/>
          <w:lang w:val="uk-UA"/>
        </w:rPr>
        <w:t>Повернуто:</w:t>
      </w:r>
    </w:p>
    <w:p w:rsidR="00CD677D" w:rsidRPr="00CD677D" w:rsidRDefault="00CB5A83" w:rsidP="00CB5A83">
      <w:pPr>
        <w:tabs>
          <w:tab w:val="left" w:pos="709"/>
        </w:tabs>
        <w:jc w:val="both"/>
        <w:rPr>
          <w:spacing w:val="-2"/>
          <w:sz w:val="28"/>
          <w:szCs w:val="28"/>
          <w:lang w:val="uk-UA"/>
        </w:rPr>
      </w:pPr>
      <w:r>
        <w:rPr>
          <w:spacing w:val="-2"/>
          <w:sz w:val="28"/>
          <w:szCs w:val="28"/>
          <w:lang w:val="uk-UA"/>
        </w:rPr>
        <w:t xml:space="preserve">          </w:t>
      </w:r>
      <w:r w:rsidR="00CD677D" w:rsidRPr="00CD677D">
        <w:rPr>
          <w:spacing w:val="-2"/>
          <w:sz w:val="28"/>
          <w:szCs w:val="28"/>
          <w:lang w:val="uk-UA"/>
        </w:rPr>
        <w:t>- Субвенція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 – 0,80 тис. грн.;</w:t>
      </w:r>
    </w:p>
    <w:p w:rsidR="00CD677D" w:rsidRPr="00CD677D" w:rsidRDefault="00CB5A83" w:rsidP="00CD677D">
      <w:pPr>
        <w:tabs>
          <w:tab w:val="left" w:pos="709"/>
        </w:tabs>
        <w:jc w:val="both"/>
        <w:rPr>
          <w:sz w:val="28"/>
          <w:szCs w:val="28"/>
          <w:lang w:val="uk-UA"/>
        </w:rPr>
      </w:pPr>
      <w:r>
        <w:rPr>
          <w:spacing w:val="-2"/>
          <w:sz w:val="28"/>
          <w:szCs w:val="28"/>
          <w:lang w:val="uk-UA"/>
        </w:rPr>
        <w:t xml:space="preserve">           </w:t>
      </w:r>
      <w:r w:rsidR="00CD677D" w:rsidRPr="00CD677D">
        <w:rPr>
          <w:spacing w:val="-2"/>
          <w:sz w:val="28"/>
          <w:szCs w:val="28"/>
          <w:lang w:val="uk-UA"/>
        </w:rPr>
        <w:t xml:space="preserve">- </w:t>
      </w:r>
      <w:r w:rsidR="00CD677D" w:rsidRPr="00CD677D">
        <w:rPr>
          <w:sz w:val="28"/>
          <w:szCs w:val="28"/>
          <w:lang w:val="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189,45 тис. грн.</w:t>
      </w:r>
    </w:p>
    <w:p w:rsidR="00CD677D" w:rsidRPr="00CD677D" w:rsidRDefault="00CD677D" w:rsidP="00CD677D">
      <w:pPr>
        <w:tabs>
          <w:tab w:val="left" w:pos="709"/>
        </w:tabs>
        <w:jc w:val="both"/>
        <w:rPr>
          <w:b/>
          <w:sz w:val="28"/>
          <w:szCs w:val="28"/>
          <w:lang w:val="uk-UA"/>
        </w:rPr>
      </w:pPr>
      <w:r w:rsidRPr="00CD677D">
        <w:rPr>
          <w:sz w:val="28"/>
          <w:szCs w:val="28"/>
          <w:lang w:val="uk-UA"/>
        </w:rPr>
        <w:tab/>
        <w:t xml:space="preserve">Надійшло з початку року – 82173,30 тис. грн. або 99,7% до плану. </w:t>
      </w:r>
      <w:proofErr w:type="spellStart"/>
      <w:r w:rsidR="00CB5A83">
        <w:rPr>
          <w:b/>
          <w:sz w:val="28"/>
          <w:szCs w:val="28"/>
          <w:lang w:val="uk-UA"/>
        </w:rPr>
        <w:t>Недоотриман</w:t>
      </w:r>
      <w:r w:rsidRPr="00CD677D">
        <w:rPr>
          <w:b/>
          <w:sz w:val="28"/>
          <w:szCs w:val="28"/>
          <w:lang w:val="uk-UA"/>
        </w:rPr>
        <w:t>о</w:t>
      </w:r>
      <w:proofErr w:type="spellEnd"/>
      <w:r w:rsidRPr="00CD677D">
        <w:rPr>
          <w:b/>
          <w:sz w:val="28"/>
          <w:szCs w:val="28"/>
          <w:lang w:val="uk-UA"/>
        </w:rPr>
        <w:t xml:space="preserve"> субвенції за 2021 рік:</w:t>
      </w:r>
    </w:p>
    <w:p w:rsidR="00CD677D" w:rsidRPr="00CD677D" w:rsidRDefault="00CB5A83" w:rsidP="00CD677D">
      <w:pPr>
        <w:tabs>
          <w:tab w:val="left" w:pos="5380"/>
        </w:tabs>
        <w:jc w:val="both"/>
        <w:rPr>
          <w:sz w:val="28"/>
          <w:szCs w:val="28"/>
          <w:lang w:val="uk-UA"/>
        </w:rPr>
      </w:pPr>
      <w:r>
        <w:rPr>
          <w:spacing w:val="-2"/>
          <w:sz w:val="28"/>
          <w:szCs w:val="28"/>
          <w:lang w:val="uk-UA"/>
        </w:rPr>
        <w:t xml:space="preserve">          </w:t>
      </w:r>
      <w:r w:rsidR="00CD677D" w:rsidRPr="00CD677D">
        <w:rPr>
          <w:spacing w:val="-2"/>
          <w:sz w:val="28"/>
          <w:szCs w:val="28"/>
          <w:lang w:val="uk-UA"/>
        </w:rPr>
        <w:t xml:space="preserve">- Субвенція з державного бюджету місцевим бюджетам на реалізацію заходів, спрямованих на підвищення доступності широкосмугового доступу до Інтернету в сільській місцевості - </w:t>
      </w:r>
      <w:r w:rsidR="00CD677D" w:rsidRPr="00CD677D">
        <w:rPr>
          <w:sz w:val="28"/>
          <w:szCs w:val="28"/>
          <w:lang w:val="uk-UA"/>
        </w:rPr>
        <w:t xml:space="preserve">фактично надійшло 923,0 тис. грн. або 99,91%, </w:t>
      </w:r>
      <w:proofErr w:type="spellStart"/>
      <w:r w:rsidR="00CD677D" w:rsidRPr="00CD677D">
        <w:rPr>
          <w:sz w:val="28"/>
          <w:szCs w:val="28"/>
          <w:lang w:val="uk-UA"/>
        </w:rPr>
        <w:t>недоотримано</w:t>
      </w:r>
      <w:proofErr w:type="spellEnd"/>
      <w:r w:rsidR="00CD677D" w:rsidRPr="00CD677D">
        <w:rPr>
          <w:sz w:val="28"/>
          <w:szCs w:val="28"/>
          <w:lang w:val="uk-UA"/>
        </w:rPr>
        <w:t xml:space="preserve"> – 0,80 тис. грн.;</w:t>
      </w:r>
    </w:p>
    <w:p w:rsidR="00CD677D" w:rsidRPr="00CD677D" w:rsidRDefault="00CB5A83" w:rsidP="00CD677D">
      <w:pPr>
        <w:tabs>
          <w:tab w:val="left" w:pos="5380"/>
        </w:tabs>
        <w:jc w:val="both"/>
        <w:rPr>
          <w:sz w:val="28"/>
          <w:szCs w:val="28"/>
          <w:lang w:val="uk-UA"/>
        </w:rPr>
      </w:pPr>
      <w:r>
        <w:rPr>
          <w:sz w:val="28"/>
          <w:szCs w:val="28"/>
          <w:lang w:val="uk-UA"/>
        </w:rPr>
        <w:t xml:space="preserve">          </w:t>
      </w:r>
      <w:r w:rsidR="00CD677D" w:rsidRPr="00CD677D">
        <w:rPr>
          <w:sz w:val="28"/>
          <w:szCs w:val="28"/>
          <w:lang w:val="uk-UA"/>
        </w:rPr>
        <w:t xml:space="preserve">- 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 фактично надійшло 851,19 тис. грн. або 79,9%, </w:t>
      </w:r>
      <w:proofErr w:type="spellStart"/>
      <w:r w:rsidR="00CD677D" w:rsidRPr="00AC4F3C">
        <w:rPr>
          <w:b/>
          <w:sz w:val="28"/>
          <w:szCs w:val="28"/>
          <w:lang w:val="uk-UA"/>
        </w:rPr>
        <w:t>недоотримано</w:t>
      </w:r>
      <w:proofErr w:type="spellEnd"/>
      <w:r w:rsidR="00CD677D" w:rsidRPr="00CD677D">
        <w:rPr>
          <w:sz w:val="28"/>
          <w:szCs w:val="28"/>
          <w:lang w:val="uk-UA"/>
        </w:rPr>
        <w:t xml:space="preserve"> – 214,09 тис. грн.</w:t>
      </w:r>
    </w:p>
    <w:p w:rsidR="00CD677D" w:rsidRDefault="00CD677D" w:rsidP="00CD677D">
      <w:pPr>
        <w:ind w:firstLine="708"/>
        <w:jc w:val="both"/>
        <w:rPr>
          <w:color w:val="000000"/>
          <w:kern w:val="2"/>
          <w:lang w:val="uk-UA" w:eastAsia="ar-SA"/>
        </w:rPr>
      </w:pPr>
    </w:p>
    <w:p w:rsidR="00CB5A83" w:rsidRDefault="00CB5A83" w:rsidP="00CD677D">
      <w:pPr>
        <w:ind w:firstLine="708"/>
        <w:jc w:val="both"/>
        <w:rPr>
          <w:color w:val="000000"/>
          <w:kern w:val="2"/>
          <w:lang w:val="uk-UA" w:eastAsia="ar-SA"/>
        </w:rPr>
      </w:pPr>
    </w:p>
    <w:p w:rsidR="00CB5A83" w:rsidRPr="00CB5A83" w:rsidRDefault="00CB5A83" w:rsidP="00CD677D">
      <w:pPr>
        <w:ind w:firstLine="708"/>
        <w:jc w:val="both"/>
        <w:rPr>
          <w:color w:val="000000"/>
          <w:kern w:val="2"/>
          <w:lang w:val="uk-UA" w:eastAsia="ar-SA"/>
        </w:rPr>
      </w:pPr>
    </w:p>
    <w:p w:rsidR="00CD677D" w:rsidRPr="00CB5A83" w:rsidRDefault="00CD677D" w:rsidP="00CD677D">
      <w:pPr>
        <w:jc w:val="both"/>
        <w:rPr>
          <w:b/>
          <w:sz w:val="28"/>
          <w:szCs w:val="28"/>
          <w:lang w:val="uk-UA"/>
        </w:rPr>
      </w:pPr>
      <w:r w:rsidRPr="00CB5A83">
        <w:rPr>
          <w:b/>
          <w:sz w:val="28"/>
          <w:szCs w:val="28"/>
          <w:lang w:val="uk-UA"/>
        </w:rPr>
        <w:t xml:space="preserve">Начальник фінансового управління </w:t>
      </w:r>
      <w:r w:rsidRPr="00CB5A83">
        <w:rPr>
          <w:b/>
          <w:sz w:val="28"/>
          <w:szCs w:val="28"/>
          <w:lang w:val="uk-UA"/>
        </w:rPr>
        <w:tab/>
      </w:r>
    </w:p>
    <w:p w:rsidR="00CD677D" w:rsidRPr="00CB5A83" w:rsidRDefault="00CD677D" w:rsidP="00CD677D">
      <w:pPr>
        <w:tabs>
          <w:tab w:val="left" w:pos="7766"/>
        </w:tabs>
        <w:jc w:val="both"/>
        <w:rPr>
          <w:color w:val="000000"/>
          <w:kern w:val="2"/>
          <w:sz w:val="28"/>
          <w:szCs w:val="28"/>
          <w:lang w:val="uk-UA" w:eastAsia="ar-SA"/>
        </w:rPr>
      </w:pPr>
      <w:r w:rsidRPr="00CB5A83">
        <w:rPr>
          <w:b/>
          <w:sz w:val="28"/>
          <w:szCs w:val="28"/>
          <w:lang w:val="uk-UA"/>
        </w:rPr>
        <w:t xml:space="preserve">Ананьївської міської ради                         </w:t>
      </w:r>
      <w:r w:rsidR="00CB5A83">
        <w:rPr>
          <w:b/>
          <w:sz w:val="28"/>
          <w:szCs w:val="28"/>
          <w:lang w:val="uk-UA"/>
        </w:rPr>
        <w:t xml:space="preserve"> </w:t>
      </w:r>
      <w:r w:rsidRPr="00CB5A83">
        <w:rPr>
          <w:b/>
          <w:sz w:val="28"/>
          <w:szCs w:val="28"/>
          <w:lang w:val="uk-UA"/>
        </w:rPr>
        <w:t xml:space="preserve">                         Андрій  ПРОДАН</w:t>
      </w:r>
    </w:p>
    <w:p w:rsidR="00985C3A" w:rsidRPr="005B7393" w:rsidRDefault="00985C3A" w:rsidP="00CD677D">
      <w:pPr>
        <w:suppressAutoHyphens/>
        <w:spacing w:line="200" w:lineRule="atLeast"/>
        <w:ind w:right="-1"/>
        <w:jc w:val="both"/>
        <w:rPr>
          <w:lang w:val="uk-UA"/>
        </w:rPr>
      </w:pPr>
    </w:p>
    <w:sectPr w:rsidR="00985C3A" w:rsidRPr="005B7393" w:rsidSect="00CB5A8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32A74"/>
    <w:multiLevelType w:val="hybridMultilevel"/>
    <w:tmpl w:val="B7DCE7BA"/>
    <w:lvl w:ilvl="0" w:tplc="02D26F84">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
    <w:nsid w:val="12EA5039"/>
    <w:multiLevelType w:val="hybridMultilevel"/>
    <w:tmpl w:val="6C38091A"/>
    <w:lvl w:ilvl="0" w:tplc="27483C66">
      <w:numFmt w:val="bullet"/>
      <w:lvlText w:val="-"/>
      <w:lvlJc w:val="left"/>
      <w:pPr>
        <w:ind w:left="1065" w:hanging="360"/>
      </w:pPr>
      <w:rPr>
        <w:rFonts w:ascii="Times New Roman" w:eastAsia="Times New Roman" w:hAnsi="Times New Roman" w:cs="Times New Roman" w:hint="default"/>
      </w:rPr>
    </w:lvl>
    <w:lvl w:ilvl="1" w:tplc="04220003">
      <w:start w:val="1"/>
      <w:numFmt w:val="bullet"/>
      <w:lvlText w:val="o"/>
      <w:lvlJc w:val="left"/>
      <w:pPr>
        <w:ind w:left="1785" w:hanging="360"/>
      </w:pPr>
      <w:rPr>
        <w:rFonts w:ascii="Courier New" w:hAnsi="Courier New" w:cs="Courier New" w:hint="default"/>
      </w:rPr>
    </w:lvl>
    <w:lvl w:ilvl="2" w:tplc="04220005">
      <w:start w:val="1"/>
      <w:numFmt w:val="bullet"/>
      <w:lvlText w:val=""/>
      <w:lvlJc w:val="left"/>
      <w:pPr>
        <w:ind w:left="2505" w:hanging="360"/>
      </w:pPr>
      <w:rPr>
        <w:rFonts w:ascii="Wingdings" w:hAnsi="Wingdings" w:hint="default"/>
      </w:rPr>
    </w:lvl>
    <w:lvl w:ilvl="3" w:tplc="04220001">
      <w:start w:val="1"/>
      <w:numFmt w:val="bullet"/>
      <w:lvlText w:val=""/>
      <w:lvlJc w:val="left"/>
      <w:pPr>
        <w:ind w:left="3225" w:hanging="360"/>
      </w:pPr>
      <w:rPr>
        <w:rFonts w:ascii="Symbol" w:hAnsi="Symbol" w:hint="default"/>
      </w:rPr>
    </w:lvl>
    <w:lvl w:ilvl="4" w:tplc="04220003">
      <w:start w:val="1"/>
      <w:numFmt w:val="bullet"/>
      <w:lvlText w:val="o"/>
      <w:lvlJc w:val="left"/>
      <w:pPr>
        <w:ind w:left="3945" w:hanging="360"/>
      </w:pPr>
      <w:rPr>
        <w:rFonts w:ascii="Courier New" w:hAnsi="Courier New" w:cs="Courier New" w:hint="default"/>
      </w:rPr>
    </w:lvl>
    <w:lvl w:ilvl="5" w:tplc="04220005">
      <w:start w:val="1"/>
      <w:numFmt w:val="bullet"/>
      <w:lvlText w:val=""/>
      <w:lvlJc w:val="left"/>
      <w:pPr>
        <w:ind w:left="4665" w:hanging="360"/>
      </w:pPr>
      <w:rPr>
        <w:rFonts w:ascii="Wingdings" w:hAnsi="Wingdings" w:hint="default"/>
      </w:rPr>
    </w:lvl>
    <w:lvl w:ilvl="6" w:tplc="04220001">
      <w:start w:val="1"/>
      <w:numFmt w:val="bullet"/>
      <w:lvlText w:val=""/>
      <w:lvlJc w:val="left"/>
      <w:pPr>
        <w:ind w:left="5385" w:hanging="360"/>
      </w:pPr>
      <w:rPr>
        <w:rFonts w:ascii="Symbol" w:hAnsi="Symbol" w:hint="default"/>
      </w:rPr>
    </w:lvl>
    <w:lvl w:ilvl="7" w:tplc="04220003">
      <w:start w:val="1"/>
      <w:numFmt w:val="bullet"/>
      <w:lvlText w:val="o"/>
      <w:lvlJc w:val="left"/>
      <w:pPr>
        <w:ind w:left="6105" w:hanging="360"/>
      </w:pPr>
      <w:rPr>
        <w:rFonts w:ascii="Courier New" w:hAnsi="Courier New" w:cs="Courier New" w:hint="default"/>
      </w:rPr>
    </w:lvl>
    <w:lvl w:ilvl="8" w:tplc="04220005">
      <w:start w:val="1"/>
      <w:numFmt w:val="bullet"/>
      <w:lvlText w:val=""/>
      <w:lvlJc w:val="left"/>
      <w:pPr>
        <w:ind w:left="6825" w:hanging="360"/>
      </w:pPr>
      <w:rPr>
        <w:rFonts w:ascii="Wingdings" w:hAnsi="Wingdings" w:hint="default"/>
      </w:rPr>
    </w:lvl>
  </w:abstractNum>
  <w:abstractNum w:abstractNumId="2">
    <w:nsid w:val="1B803FE8"/>
    <w:multiLevelType w:val="hybridMultilevel"/>
    <w:tmpl w:val="BD3091F6"/>
    <w:lvl w:ilvl="0" w:tplc="D0C0CFAE">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nsid w:val="33883033"/>
    <w:multiLevelType w:val="hybridMultilevel"/>
    <w:tmpl w:val="1E421D40"/>
    <w:lvl w:ilvl="0" w:tplc="872642D4">
      <w:start w:val="1"/>
      <w:numFmt w:val="decimal"/>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4">
    <w:nsid w:val="5BCA10E8"/>
    <w:multiLevelType w:val="hybridMultilevel"/>
    <w:tmpl w:val="A6ACA3D2"/>
    <w:lvl w:ilvl="0" w:tplc="96D010B0">
      <w:start w:val="1"/>
      <w:numFmt w:val="upperRoman"/>
      <w:lvlText w:val="%1."/>
      <w:lvlJc w:val="left"/>
      <w:pPr>
        <w:ind w:left="1080" w:hanging="72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6F0F6DA8"/>
    <w:multiLevelType w:val="hybridMultilevel"/>
    <w:tmpl w:val="95F0AA3C"/>
    <w:lvl w:ilvl="0" w:tplc="92BEEDA0">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C1"/>
    <w:rsid w:val="00002841"/>
    <w:rsid w:val="000B5A6D"/>
    <w:rsid w:val="000C0C57"/>
    <w:rsid w:val="000D37B6"/>
    <w:rsid w:val="000E0BF0"/>
    <w:rsid w:val="001805E8"/>
    <w:rsid w:val="0019222A"/>
    <w:rsid w:val="001938AC"/>
    <w:rsid w:val="00444606"/>
    <w:rsid w:val="004A5276"/>
    <w:rsid w:val="004B5D98"/>
    <w:rsid w:val="00587DA8"/>
    <w:rsid w:val="005B7393"/>
    <w:rsid w:val="005C37E8"/>
    <w:rsid w:val="007743AA"/>
    <w:rsid w:val="00787132"/>
    <w:rsid w:val="00812545"/>
    <w:rsid w:val="00875BC1"/>
    <w:rsid w:val="00985C3A"/>
    <w:rsid w:val="00A23177"/>
    <w:rsid w:val="00AC4F3C"/>
    <w:rsid w:val="00AD0ED5"/>
    <w:rsid w:val="00CB1522"/>
    <w:rsid w:val="00CB5A83"/>
    <w:rsid w:val="00CD0CDA"/>
    <w:rsid w:val="00CD677D"/>
    <w:rsid w:val="00E21D90"/>
    <w:rsid w:val="00E300FA"/>
    <w:rsid w:val="00EE6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73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B7393"/>
    <w:rPr>
      <w:rFonts w:ascii="Tahoma" w:hAnsi="Tahoma" w:cs="Tahoma"/>
      <w:sz w:val="16"/>
      <w:szCs w:val="16"/>
    </w:rPr>
  </w:style>
  <w:style w:type="character" w:customStyle="1" w:styleId="a4">
    <w:name w:val="Текст выноски Знак"/>
    <w:basedOn w:val="a0"/>
    <w:link w:val="a3"/>
    <w:rsid w:val="005B7393"/>
    <w:rPr>
      <w:rFonts w:ascii="Tahoma" w:hAnsi="Tahoma" w:cs="Tahoma"/>
      <w:sz w:val="16"/>
      <w:szCs w:val="16"/>
    </w:rPr>
  </w:style>
  <w:style w:type="paragraph" w:styleId="a5">
    <w:name w:val="List Paragraph"/>
    <w:basedOn w:val="a"/>
    <w:uiPriority w:val="34"/>
    <w:qFormat/>
    <w:rsid w:val="000E0B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73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B7393"/>
    <w:rPr>
      <w:rFonts w:ascii="Tahoma" w:hAnsi="Tahoma" w:cs="Tahoma"/>
      <w:sz w:val="16"/>
      <w:szCs w:val="16"/>
    </w:rPr>
  </w:style>
  <w:style w:type="character" w:customStyle="1" w:styleId="a4">
    <w:name w:val="Текст выноски Знак"/>
    <w:basedOn w:val="a0"/>
    <w:link w:val="a3"/>
    <w:rsid w:val="005B7393"/>
    <w:rPr>
      <w:rFonts w:ascii="Tahoma" w:hAnsi="Tahoma" w:cs="Tahoma"/>
      <w:sz w:val="16"/>
      <w:szCs w:val="16"/>
    </w:rPr>
  </w:style>
  <w:style w:type="paragraph" w:styleId="a5">
    <w:name w:val="List Paragraph"/>
    <w:basedOn w:val="a"/>
    <w:uiPriority w:val="34"/>
    <w:qFormat/>
    <w:rsid w:val="000E0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6644">
      <w:bodyDiv w:val="1"/>
      <w:marLeft w:val="0"/>
      <w:marRight w:val="0"/>
      <w:marTop w:val="0"/>
      <w:marBottom w:val="0"/>
      <w:divBdr>
        <w:top w:val="none" w:sz="0" w:space="0" w:color="auto"/>
        <w:left w:val="none" w:sz="0" w:space="0" w:color="auto"/>
        <w:bottom w:val="none" w:sz="0" w:space="0" w:color="auto"/>
        <w:right w:val="none" w:sz="0" w:space="0" w:color="auto"/>
      </w:divBdr>
    </w:div>
    <w:div w:id="421218402">
      <w:bodyDiv w:val="1"/>
      <w:marLeft w:val="0"/>
      <w:marRight w:val="0"/>
      <w:marTop w:val="0"/>
      <w:marBottom w:val="0"/>
      <w:divBdr>
        <w:top w:val="none" w:sz="0" w:space="0" w:color="auto"/>
        <w:left w:val="none" w:sz="0" w:space="0" w:color="auto"/>
        <w:bottom w:val="none" w:sz="0" w:space="0" w:color="auto"/>
        <w:right w:val="none" w:sz="0" w:space="0" w:color="auto"/>
      </w:divBdr>
    </w:div>
    <w:div w:id="487207204">
      <w:bodyDiv w:val="1"/>
      <w:marLeft w:val="0"/>
      <w:marRight w:val="0"/>
      <w:marTop w:val="0"/>
      <w:marBottom w:val="0"/>
      <w:divBdr>
        <w:top w:val="none" w:sz="0" w:space="0" w:color="auto"/>
        <w:left w:val="none" w:sz="0" w:space="0" w:color="auto"/>
        <w:bottom w:val="none" w:sz="0" w:space="0" w:color="auto"/>
        <w:right w:val="none" w:sz="0" w:space="0" w:color="auto"/>
      </w:divBdr>
    </w:div>
    <w:div w:id="15976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zakon.rada.gov.ua/laws/show/1072-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4.xml"/><Relationship Id="rId5" Type="http://schemas.openxmlformats.org/officeDocument/2006/relationships/settings" Target="settings.xml"/><Relationship Id="rId10"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1111111111111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1042;&#1080;&#1082;&#1090;&#1086;&#1088;&#1080;&#1103;\&#1044;&#1086;&#1093;&#1086;&#1076;&#1080;%20&#1074;%20&#1088;&#1086;&#1079;&#1088;&#1110;&#1079;&#1110;%20&#1087;&#1083;&#1072;&#1090;&#1085;&#1080;&#1082;&#1110;&#1074;%202022%20&#1088;&#1110;&#1082;\&#1050;&#1054;&#1053;&#1058;&#1056;&#1054;&#1051;&#1030;_2021&#1056;\&#1074;&#1110;&#1076;%2006%20&#1074;&#1110;&#1076;&#1076;&#1110;&#1083;&#1091;%20&#1076;&#1086;&#1093;&#1086;&#1076;&#1110;&#1074;_&#1076;&#1086;%203%20&#1095;&#1080;&#1089;&#1083;&#1072;_&#1097;&#1086;&#1084;&#1110;&#1089;&#1095;&#1085;&#1086;\45_vik_&#1085;&#1072;%2001.01.2022&#1088;\45_vik_&#1085;&#1072;%20&#1087;&#1077;&#1095;&#1072;&#1090;&#1100;.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1121212121212121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1131313131313131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9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612612612612611"/>
          <c:y val="6.4406779661016947E-2"/>
          <c:w val="0.56756756756756754"/>
          <c:h val="0.79322033898305089"/>
        </c:manualLayout>
      </c:layout>
      <c:bar3DChart>
        <c:barDir val="col"/>
        <c:grouping val="clustered"/>
        <c:varyColors val="0"/>
        <c:ser>
          <c:idx val="0"/>
          <c:order val="0"/>
          <c:tx>
            <c:strRef>
              <c:f>Sheet1!$A$2</c:f>
              <c:strCache>
                <c:ptCount val="1"/>
                <c:pt idx="0">
                  <c:v>Власні надходження Загального фонду</c:v>
                </c:pt>
              </c:strCache>
            </c:strRef>
          </c:tx>
          <c:spPr>
            <a:solidFill>
              <a:srgbClr val="9999FF"/>
            </a:solidFill>
            <a:ln w="13552">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Sheet1!$B$2:$E$2</c:f>
              <c:numCache>
                <c:formatCode>General</c:formatCode>
                <c:ptCount val="4"/>
                <c:pt idx="0">
                  <c:v>19070.7</c:v>
                </c:pt>
                <c:pt idx="1">
                  <c:v>18943.5</c:v>
                </c:pt>
                <c:pt idx="2">
                  <c:v>24677.7</c:v>
                </c:pt>
                <c:pt idx="3">
                  <c:v>32985.1</c:v>
                </c:pt>
              </c:numCache>
            </c:numRef>
          </c:val>
        </c:ser>
        <c:ser>
          <c:idx val="1"/>
          <c:order val="1"/>
          <c:tx>
            <c:strRef>
              <c:f>Sheet1!$A$3</c:f>
              <c:strCache>
                <c:ptCount val="1"/>
                <c:pt idx="0">
                  <c:v>Власні надходження Спеціального фонду</c:v>
                </c:pt>
              </c:strCache>
            </c:strRef>
          </c:tx>
          <c:spPr>
            <a:solidFill>
              <a:srgbClr val="993366"/>
            </a:solidFill>
            <a:ln w="13552">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Sheet1!$B$3:$E$3</c:f>
              <c:numCache>
                <c:formatCode>General</c:formatCode>
                <c:ptCount val="4"/>
                <c:pt idx="0">
                  <c:v>281.89999999999998</c:v>
                </c:pt>
                <c:pt idx="1">
                  <c:v>573.70000000000005</c:v>
                </c:pt>
                <c:pt idx="2">
                  <c:v>329.4</c:v>
                </c:pt>
                <c:pt idx="3">
                  <c:v>693.4</c:v>
                </c:pt>
              </c:numCache>
            </c:numRef>
          </c:val>
        </c:ser>
        <c:ser>
          <c:idx val="2"/>
          <c:order val="2"/>
          <c:tx>
            <c:strRef>
              <c:f>Sheet1!$A$4</c:f>
              <c:strCache>
                <c:ptCount val="1"/>
                <c:pt idx="0">
                  <c:v>Трансферти</c:v>
                </c:pt>
              </c:strCache>
            </c:strRef>
          </c:tx>
          <c:spPr>
            <a:solidFill>
              <a:srgbClr val="FFFFCC"/>
            </a:solidFill>
            <a:ln w="13552">
              <a:solidFill>
                <a:srgbClr val="000000"/>
              </a:solidFill>
              <a:prstDash val="solid"/>
            </a:ln>
          </c:spPr>
          <c:invertIfNegative val="0"/>
          <c:cat>
            <c:strRef>
              <c:f>Sheet1!$B$1:$E$1</c:f>
              <c:strCache>
                <c:ptCount val="4"/>
                <c:pt idx="0">
                  <c:v>1 кв</c:v>
                </c:pt>
                <c:pt idx="1">
                  <c:v>2 кв</c:v>
                </c:pt>
                <c:pt idx="2">
                  <c:v>3 кв</c:v>
                </c:pt>
                <c:pt idx="3">
                  <c:v>4 кв</c:v>
                </c:pt>
              </c:strCache>
            </c:strRef>
          </c:cat>
          <c:val>
            <c:numRef>
              <c:f>Sheet1!$B$4:$E$4</c:f>
              <c:numCache>
                <c:formatCode>General</c:formatCode>
                <c:ptCount val="4"/>
                <c:pt idx="0">
                  <c:v>17830.3</c:v>
                </c:pt>
                <c:pt idx="1">
                  <c:v>27078.799999999999</c:v>
                </c:pt>
                <c:pt idx="2">
                  <c:v>18650.599999999999</c:v>
                </c:pt>
                <c:pt idx="3">
                  <c:v>36504.1</c:v>
                </c:pt>
              </c:numCache>
            </c:numRef>
          </c:val>
        </c:ser>
        <c:dLbls>
          <c:showLegendKey val="0"/>
          <c:showVal val="0"/>
          <c:showCatName val="0"/>
          <c:showSerName val="0"/>
          <c:showPercent val="0"/>
          <c:showBubbleSize val="0"/>
        </c:dLbls>
        <c:gapWidth val="150"/>
        <c:gapDepth val="0"/>
        <c:shape val="box"/>
        <c:axId val="46689280"/>
        <c:axId val="46691072"/>
        <c:axId val="0"/>
      </c:bar3DChart>
      <c:catAx>
        <c:axId val="46689280"/>
        <c:scaling>
          <c:orientation val="minMax"/>
        </c:scaling>
        <c:delete val="0"/>
        <c:axPos val="b"/>
        <c:numFmt formatCode="General" sourceLinked="1"/>
        <c:majorTickMark val="out"/>
        <c:minorTickMark val="none"/>
        <c:tickLblPos val="low"/>
        <c:spPr>
          <a:ln w="3388">
            <a:solidFill>
              <a:srgbClr val="000000"/>
            </a:solidFill>
            <a:prstDash val="solid"/>
          </a:ln>
        </c:spPr>
        <c:txPr>
          <a:bodyPr rot="0" vert="horz"/>
          <a:lstStyle/>
          <a:p>
            <a:pPr>
              <a:defRPr sz="1281" b="1" i="0" u="none" strike="noStrike" baseline="0">
                <a:solidFill>
                  <a:srgbClr val="000000"/>
                </a:solidFill>
                <a:latin typeface="Calibri"/>
                <a:ea typeface="Calibri"/>
                <a:cs typeface="Calibri"/>
              </a:defRPr>
            </a:pPr>
            <a:endParaRPr lang="ru-RU"/>
          </a:p>
        </c:txPr>
        <c:crossAx val="46691072"/>
        <c:crosses val="autoZero"/>
        <c:auto val="1"/>
        <c:lblAlgn val="ctr"/>
        <c:lblOffset val="100"/>
        <c:tickLblSkip val="1"/>
        <c:tickMarkSkip val="1"/>
        <c:noMultiLvlLbl val="0"/>
      </c:catAx>
      <c:valAx>
        <c:axId val="46691072"/>
        <c:scaling>
          <c:orientation val="minMax"/>
        </c:scaling>
        <c:delete val="0"/>
        <c:axPos val="l"/>
        <c:majorGridlines>
          <c:spPr>
            <a:ln w="3388">
              <a:solidFill>
                <a:srgbClr val="000000"/>
              </a:solidFill>
              <a:prstDash val="solid"/>
            </a:ln>
          </c:spPr>
        </c:majorGridlines>
        <c:numFmt formatCode="General" sourceLinked="1"/>
        <c:majorTickMark val="out"/>
        <c:minorTickMark val="none"/>
        <c:tickLblPos val="nextTo"/>
        <c:spPr>
          <a:ln w="3388">
            <a:solidFill>
              <a:srgbClr val="000000"/>
            </a:solidFill>
            <a:prstDash val="solid"/>
          </a:ln>
        </c:spPr>
        <c:txPr>
          <a:bodyPr rot="0" vert="horz"/>
          <a:lstStyle/>
          <a:p>
            <a:pPr>
              <a:defRPr sz="1281" b="1" i="0" u="none" strike="noStrike" baseline="0">
                <a:solidFill>
                  <a:srgbClr val="000000"/>
                </a:solidFill>
                <a:latin typeface="Calibri"/>
                <a:ea typeface="Calibri"/>
                <a:cs typeface="Calibri"/>
              </a:defRPr>
            </a:pPr>
            <a:endParaRPr lang="ru-RU"/>
          </a:p>
        </c:txPr>
        <c:crossAx val="46689280"/>
        <c:crosses val="autoZero"/>
        <c:crossBetween val="between"/>
      </c:valAx>
      <c:spPr>
        <a:noFill/>
        <a:ln w="27104">
          <a:noFill/>
        </a:ln>
      </c:spPr>
    </c:plotArea>
    <c:legend>
      <c:legendPos val="r"/>
      <c:layout>
        <c:manualLayout>
          <c:xMode val="edge"/>
          <c:yMode val="edge"/>
          <c:x val="0.71846846846846846"/>
          <c:y val="8.8135593220338981E-2"/>
          <c:w val="0.27252252252252251"/>
          <c:h val="0.82711864406779656"/>
        </c:manualLayout>
      </c:layout>
      <c:overlay val="0"/>
      <c:spPr>
        <a:noFill/>
        <a:ln w="3388">
          <a:solidFill>
            <a:srgbClr val="000000"/>
          </a:solidFill>
          <a:prstDash val="solid"/>
        </a:ln>
      </c:spPr>
      <c:txPr>
        <a:bodyPr/>
        <a:lstStyle/>
        <a:p>
          <a:pPr>
            <a:defRPr sz="1174"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81"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61"/>
      <c:rAngAx val="0"/>
      <c:perspective val="30"/>
    </c:view3D>
    <c:floor>
      <c:thickness val="0"/>
    </c:floor>
    <c:sideWall>
      <c:thickness val="0"/>
    </c:sideWall>
    <c:backWall>
      <c:thickness val="0"/>
    </c:backWall>
    <c:plotArea>
      <c:layout>
        <c:manualLayout>
          <c:layoutTarget val="inner"/>
          <c:xMode val="edge"/>
          <c:yMode val="edge"/>
          <c:x val="0.14251763440698278"/>
          <c:y val="0.12151710928149848"/>
          <c:w val="0.71691638338255748"/>
          <c:h val="0.70331379189871857"/>
        </c:manualLayout>
      </c:layout>
      <c:pie3DChart>
        <c:varyColors val="1"/>
        <c:ser>
          <c:idx val="0"/>
          <c:order val="0"/>
          <c:spPr>
            <a:ln>
              <a:solidFill>
                <a:schemeClr val="accent1"/>
              </a:solidFill>
            </a:ln>
          </c:spPr>
          <c:dLbls>
            <c:dLbl>
              <c:idx val="0"/>
              <c:layout>
                <c:manualLayout>
                  <c:x val="-1.9516521965230779E-3"/>
                  <c:y val="0.11266917803039744"/>
                </c:manualLayout>
              </c:layout>
              <c:tx>
                <c:rich>
                  <a:bodyPr/>
                  <a:lstStyle/>
                  <a:p>
                    <a:r>
                      <a:rPr lang="uk-UA"/>
                      <a:t>Податкові надходення Загальног фонду; </a:t>
                    </a:r>
                  </a:p>
                  <a:p>
                    <a:r>
                      <a:rPr lang="uk-UA"/>
                      <a:t>93 884,0 </a:t>
                    </a:r>
                    <a:r>
                      <a:rPr lang="uk-UA" sz="1000" b="0" i="0" u="none" strike="noStrike" baseline="0">
                        <a:effectLst/>
                      </a:rPr>
                      <a:t>т.грн.</a:t>
                    </a:r>
                    <a:r>
                      <a:rPr lang="uk-UA"/>
                      <a:t>; </a:t>
                    </a:r>
                  </a:p>
                  <a:p>
                    <a:r>
                      <a:rPr lang="uk-UA"/>
                      <a:t>47%</a:t>
                    </a:r>
                  </a:p>
                </c:rich>
              </c:tx>
              <c:dLblPos val="bestFit"/>
              <c:showLegendKey val="1"/>
              <c:showVal val="1"/>
              <c:showCatName val="1"/>
              <c:showSerName val="0"/>
              <c:showPercent val="1"/>
              <c:showBubbleSize val="0"/>
            </c:dLbl>
            <c:dLbl>
              <c:idx val="1"/>
              <c:layout>
                <c:manualLayout>
                  <c:x val="2.3419826358276934E-2"/>
                  <c:y val="0.1797339537249478"/>
                </c:manualLayout>
              </c:layout>
              <c:tx>
                <c:rich>
                  <a:bodyPr/>
                  <a:lstStyle/>
                  <a:p>
                    <a:r>
                      <a:rPr lang="uk-UA"/>
                      <a:t>Неподаткові надходження загального фонду;</a:t>
                    </a:r>
                  </a:p>
                  <a:p>
                    <a:r>
                      <a:rPr lang="uk-UA"/>
                      <a:t> 1 793,0 </a:t>
                    </a:r>
                    <a:r>
                      <a:rPr lang="uk-UA" sz="1000" b="0" i="0" u="none" strike="noStrike" baseline="0">
                        <a:effectLst/>
                      </a:rPr>
                      <a:t>т.грн.</a:t>
                    </a:r>
                    <a:r>
                      <a:rPr lang="uk-UA"/>
                      <a:t>;</a:t>
                    </a:r>
                  </a:p>
                  <a:p>
                    <a:r>
                      <a:rPr lang="uk-UA"/>
                      <a:t> 1%</a:t>
                    </a:r>
                  </a:p>
                </c:rich>
              </c:tx>
              <c:dLblPos val="bestFit"/>
              <c:showLegendKey val="1"/>
              <c:showVal val="1"/>
              <c:showCatName val="1"/>
              <c:showSerName val="0"/>
              <c:showPercent val="1"/>
              <c:showBubbleSize val="0"/>
            </c:dLbl>
            <c:dLbl>
              <c:idx val="2"/>
              <c:layout>
                <c:manualLayout>
                  <c:x val="9.7582609826153896E-3"/>
                  <c:y val="-8.0477984307426739E-2"/>
                </c:manualLayout>
              </c:layout>
              <c:tx>
                <c:rich>
                  <a:bodyPr/>
                  <a:lstStyle/>
                  <a:p>
                    <a:r>
                      <a:rPr lang="uk-UA"/>
                      <a:t>Трансферти Загальног фонду; </a:t>
                    </a:r>
                  </a:p>
                  <a:p>
                    <a:r>
                      <a:rPr lang="uk-UA"/>
                      <a:t>  82 173,3 т.грн.;</a:t>
                    </a:r>
                  </a:p>
                  <a:p>
                    <a:r>
                      <a:rPr lang="uk-UA"/>
                      <a:t>  42%</a:t>
                    </a:r>
                  </a:p>
                </c:rich>
              </c:tx>
              <c:dLblPos val="bestFit"/>
              <c:showLegendKey val="1"/>
              <c:showVal val="1"/>
              <c:showCatName val="1"/>
              <c:showSerName val="0"/>
              <c:showPercent val="1"/>
              <c:showBubbleSize val="0"/>
            </c:dLbl>
            <c:dLbl>
              <c:idx val="3"/>
              <c:layout>
                <c:manualLayout>
                  <c:x val="-0.13661565375661552"/>
                  <c:y val="-8.3160583784340977E-2"/>
                </c:manualLayout>
              </c:layout>
              <c:tx>
                <c:rich>
                  <a:bodyPr/>
                  <a:lstStyle/>
                  <a:p>
                    <a:pPr>
                      <a:defRPr/>
                    </a:pPr>
                    <a:r>
                      <a:rPr lang="uk-UA"/>
                      <a:t>Трансферти спеціального фонду; 17 890,5</a:t>
                    </a:r>
                    <a:r>
                      <a:rPr lang="uk-UA" baseline="0"/>
                      <a:t> </a:t>
                    </a:r>
                    <a:r>
                      <a:rPr lang="uk-UA" sz="1000" b="0" i="0" u="none" strike="noStrike" baseline="0">
                        <a:effectLst/>
                      </a:rPr>
                      <a:t>т.грн.</a:t>
                    </a:r>
                    <a:r>
                      <a:rPr lang="uk-UA"/>
                      <a:t>;</a:t>
                    </a:r>
                  </a:p>
                  <a:p>
                    <a:pPr>
                      <a:defRPr/>
                    </a:pPr>
                    <a:r>
                      <a:rPr lang="uk-UA"/>
                      <a:t> 9%</a:t>
                    </a:r>
                  </a:p>
                </c:rich>
              </c:tx>
              <c:spPr/>
              <c:dLblPos val="bestFit"/>
              <c:showLegendKey val="1"/>
              <c:showVal val="1"/>
              <c:showCatName val="1"/>
              <c:showSerName val="0"/>
              <c:showPercent val="1"/>
              <c:showBubbleSize val="0"/>
            </c:dLbl>
            <c:dLbl>
              <c:idx val="4"/>
              <c:layout>
                <c:manualLayout>
                  <c:x val="-1.3661565375661544E-2"/>
                  <c:y val="-1.07303979076569E-2"/>
                </c:manualLayout>
              </c:layout>
              <c:tx>
                <c:rich>
                  <a:bodyPr/>
                  <a:lstStyle/>
                  <a:p>
                    <a:r>
                      <a:rPr lang="uk-UA"/>
                      <a:t>Податкові та Власні надходження до Спеціального фонду;</a:t>
                    </a:r>
                  </a:p>
                  <a:p>
                    <a:r>
                      <a:rPr lang="uk-UA"/>
                      <a:t> 1 878,4 </a:t>
                    </a:r>
                    <a:r>
                      <a:rPr lang="uk-UA" sz="1000" b="0" i="0" u="none" strike="noStrike" baseline="0">
                        <a:effectLst/>
                      </a:rPr>
                      <a:t>т.грн.</a:t>
                    </a:r>
                    <a:r>
                      <a:rPr lang="uk-UA"/>
                      <a:t>;</a:t>
                    </a:r>
                  </a:p>
                  <a:p>
                    <a:r>
                      <a:rPr lang="uk-UA"/>
                      <a:t> 1%</a:t>
                    </a:r>
                  </a:p>
                </c:rich>
              </c:tx>
              <c:dLblPos val="bestFit"/>
              <c:showLegendKey val="1"/>
              <c:showVal val="1"/>
              <c:showCatName val="1"/>
              <c:showSerName val="0"/>
              <c:showPercent val="1"/>
              <c:showBubbleSize val="0"/>
            </c:dLbl>
            <c:numFmt formatCode="#,##0.0" sourceLinked="0"/>
            <c:dLblPos val="outEnd"/>
            <c:showLegendKey val="1"/>
            <c:showVal val="1"/>
            <c:showCatName val="1"/>
            <c:showSerName val="0"/>
            <c:showPercent val="1"/>
            <c:showBubbleSize val="0"/>
            <c:showLeaderLines val="1"/>
          </c:dLbls>
          <c:cat>
            <c:strRef>
              <c:f>'Лист (2)'!$C$3:$G$3</c:f>
              <c:strCache>
                <c:ptCount val="5"/>
                <c:pt idx="0">
                  <c:v>Податкові надходення Загальног фонду</c:v>
                </c:pt>
                <c:pt idx="1">
                  <c:v>Неподаткові надходження загального фонду</c:v>
                </c:pt>
                <c:pt idx="2">
                  <c:v>Трансферти Загальног фонду</c:v>
                </c:pt>
                <c:pt idx="3">
                  <c:v>Трансферти спеціального фонду</c:v>
                </c:pt>
                <c:pt idx="4">
                  <c:v>Податкові та Власні надходження до Спеціального фонду</c:v>
                </c:pt>
              </c:strCache>
            </c:strRef>
          </c:cat>
          <c:val>
            <c:numRef>
              <c:f>'Лист (2)'!$C$4:$G$4</c:f>
              <c:numCache>
                <c:formatCode>#,##0.0</c:formatCode>
                <c:ptCount val="5"/>
                <c:pt idx="0">
                  <c:v>93884</c:v>
                </c:pt>
                <c:pt idx="1">
                  <c:v>1793</c:v>
                </c:pt>
                <c:pt idx="2">
                  <c:v>82173.3</c:v>
                </c:pt>
                <c:pt idx="3">
                  <c:v>17890.5</c:v>
                </c:pt>
                <c:pt idx="4">
                  <c:v>1878.4</c:v>
                </c:pt>
              </c:numCache>
            </c:numRef>
          </c:val>
        </c:ser>
        <c:ser>
          <c:idx val="1"/>
          <c:order val="1"/>
          <c:cat>
            <c:strRef>
              <c:f>'Лист (2)'!$C$3:$G$3</c:f>
              <c:strCache>
                <c:ptCount val="5"/>
                <c:pt idx="0">
                  <c:v>Податкові надходення Загальног фонду</c:v>
                </c:pt>
                <c:pt idx="1">
                  <c:v>Неподаткові надходження загального фонду</c:v>
                </c:pt>
                <c:pt idx="2">
                  <c:v>Трансферти Загальног фонду</c:v>
                </c:pt>
                <c:pt idx="3">
                  <c:v>Трансферти спеціального фонду</c:v>
                </c:pt>
                <c:pt idx="4">
                  <c:v>Податкові та Власні надходження до Спеціального фонду</c:v>
                </c:pt>
              </c:strCache>
            </c:strRef>
          </c:cat>
          <c:val>
            <c:numRef>
              <c:f>'Лист (2)'!$C$5:$G$5</c:f>
              <c:numCache>
                <c:formatCode>0.0</c:formatCode>
                <c:ptCount val="5"/>
                <c:pt idx="0">
                  <c:v>47.507529632748238</c:v>
                </c:pt>
                <c:pt idx="1">
                  <c:v>0.90730050521406824</c:v>
                </c:pt>
                <c:pt idx="2">
                  <c:v>41.581637816568431</c:v>
                </c:pt>
                <c:pt idx="3">
                  <c:v>9.0530171157458383</c:v>
                </c:pt>
                <c:pt idx="4">
                  <c:v>0.95051492972342777</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0"/>
    </c:view3D>
    <c:floor>
      <c:thickness val="0"/>
    </c:floor>
    <c:sideWall>
      <c:thickness val="0"/>
    </c:sideWall>
    <c:backWall>
      <c:thickness val="0"/>
    </c:backWall>
    <c:plotArea>
      <c:layout>
        <c:manualLayout>
          <c:layoutTarget val="inner"/>
          <c:xMode val="edge"/>
          <c:yMode val="edge"/>
          <c:x val="0.19039451114922812"/>
          <c:y val="0.26119402985074625"/>
          <c:w val="0.62092624356775306"/>
          <c:h val="0.53731343283582089"/>
        </c:manualLayout>
      </c:layout>
      <c:pie3DChart>
        <c:varyColors val="1"/>
        <c:ser>
          <c:idx val="0"/>
          <c:order val="0"/>
          <c:tx>
            <c:strRef>
              <c:f>Sheet1!$A$2</c:f>
              <c:strCache>
                <c:ptCount val="1"/>
                <c:pt idx="0">
                  <c:v>Восток</c:v>
                </c:pt>
              </c:strCache>
            </c:strRef>
          </c:tx>
          <c:spPr>
            <a:solidFill>
              <a:srgbClr val="9999FF"/>
            </a:solidFill>
            <a:ln w="13555">
              <a:solidFill>
                <a:srgbClr val="000000"/>
              </a:solidFill>
              <a:prstDash val="solid"/>
            </a:ln>
          </c:spPr>
          <c:dPt>
            <c:idx val="0"/>
            <c:bubble3D val="0"/>
          </c:dPt>
          <c:dPt>
            <c:idx val="1"/>
            <c:bubble3D val="0"/>
            <c:spPr>
              <a:solidFill>
                <a:srgbClr val="993366"/>
              </a:solidFill>
              <a:ln w="13555">
                <a:solidFill>
                  <a:srgbClr val="000000"/>
                </a:solidFill>
                <a:prstDash val="solid"/>
              </a:ln>
            </c:spPr>
          </c:dPt>
          <c:dPt>
            <c:idx val="2"/>
            <c:bubble3D val="0"/>
            <c:spPr>
              <a:solidFill>
                <a:srgbClr val="FFFFCC"/>
              </a:solidFill>
              <a:ln w="13555">
                <a:solidFill>
                  <a:srgbClr val="000000"/>
                </a:solidFill>
                <a:prstDash val="solid"/>
              </a:ln>
            </c:spPr>
          </c:dPt>
          <c:dPt>
            <c:idx val="3"/>
            <c:bubble3D val="0"/>
            <c:spPr>
              <a:solidFill>
                <a:srgbClr val="CCFFFF"/>
              </a:solidFill>
              <a:ln w="13555">
                <a:solidFill>
                  <a:srgbClr val="000000"/>
                </a:solidFill>
                <a:prstDash val="solid"/>
              </a:ln>
            </c:spPr>
          </c:dPt>
          <c:dPt>
            <c:idx val="4"/>
            <c:bubble3D val="0"/>
            <c:spPr>
              <a:solidFill>
                <a:srgbClr val="660066"/>
              </a:solidFill>
              <a:ln w="13555">
                <a:solidFill>
                  <a:srgbClr val="000000"/>
                </a:solidFill>
                <a:prstDash val="solid"/>
              </a:ln>
            </c:spPr>
          </c:dPt>
          <c:dPt>
            <c:idx val="5"/>
            <c:bubble3D val="0"/>
            <c:spPr>
              <a:solidFill>
                <a:srgbClr val="FF8080"/>
              </a:solidFill>
              <a:ln w="13555">
                <a:solidFill>
                  <a:srgbClr val="000000"/>
                </a:solidFill>
                <a:prstDash val="solid"/>
              </a:ln>
            </c:spPr>
          </c:dPt>
          <c:dPt>
            <c:idx val="6"/>
            <c:bubble3D val="0"/>
            <c:spPr>
              <a:solidFill>
                <a:srgbClr val="0066CC"/>
              </a:solidFill>
              <a:ln w="13555">
                <a:solidFill>
                  <a:srgbClr val="000000"/>
                </a:solidFill>
                <a:prstDash val="solid"/>
              </a:ln>
            </c:spPr>
          </c:dPt>
          <c:dLbls>
            <c:dLbl>
              <c:idx val="0"/>
              <c:layout>
                <c:manualLayout>
                  <c:x val="8.224210286387218E-2"/>
                  <c:y val="0.1286831241115447"/>
                </c:manualLayout>
              </c:layout>
              <c:dLblPos val="bestFit"/>
              <c:showLegendKey val="0"/>
              <c:showVal val="0"/>
              <c:showCatName val="1"/>
              <c:showSerName val="0"/>
              <c:showPercent val="1"/>
              <c:showBubbleSize val="0"/>
            </c:dLbl>
            <c:dLbl>
              <c:idx val="1"/>
              <c:layout>
                <c:manualLayout>
                  <c:x val="-7.7053609808346614E-3"/>
                  <c:y val="0.13973583413370291"/>
                </c:manualLayout>
              </c:layout>
              <c:dLblPos val="bestFit"/>
              <c:showLegendKey val="0"/>
              <c:showVal val="0"/>
              <c:showCatName val="1"/>
              <c:showSerName val="0"/>
              <c:showPercent val="1"/>
              <c:showBubbleSize val="0"/>
            </c:dLbl>
            <c:dLbl>
              <c:idx val="2"/>
              <c:layout>
                <c:manualLayout>
                  <c:x val="-5.145903784973755E-2"/>
                  <c:y val="-0.14569730990265436"/>
                </c:manualLayout>
              </c:layout>
              <c:tx>
                <c:rich>
                  <a:bodyPr/>
                  <a:lstStyle/>
                  <a:p>
                    <a:pPr>
                      <a:defRPr sz="1014" b="1" i="0" u="none" strike="noStrike" baseline="0">
                        <a:solidFill>
                          <a:srgbClr val="000000"/>
                        </a:solidFill>
                        <a:latin typeface="Times New Roman"/>
                        <a:ea typeface="Times New Roman"/>
                        <a:cs typeface="Times New Roman"/>
                      </a:defRPr>
                    </a:pPr>
                    <a:r>
                      <a:rPr lang="ru-RU"/>
                      <a:t>Податок 
на майно
16,4%</a:t>
                    </a:r>
                  </a:p>
                </c:rich>
              </c:tx>
              <c:spPr>
                <a:solidFill>
                  <a:srgbClr val="FFFFFF"/>
                </a:solidFill>
                <a:ln w="27109">
                  <a:noFill/>
                </a:ln>
              </c:spPr>
              <c:dLblPos val="bestFit"/>
              <c:showLegendKey val="0"/>
              <c:showVal val="0"/>
              <c:showCatName val="0"/>
              <c:showSerName val="0"/>
              <c:showPercent val="0"/>
              <c:showBubbleSize val="0"/>
            </c:dLbl>
            <c:dLbl>
              <c:idx val="3"/>
              <c:layout>
                <c:manualLayout>
                  <c:x val="-8.4647000257181873E-2"/>
                  <c:y val="-0.19784528349293448"/>
                </c:manualLayout>
              </c:layout>
              <c:tx>
                <c:rich>
                  <a:bodyPr/>
                  <a:lstStyle/>
                  <a:p>
                    <a:pPr>
                      <a:defRPr sz="1014" b="1" i="0" u="none" strike="noStrike" baseline="0">
                        <a:solidFill>
                          <a:srgbClr val="000000"/>
                        </a:solidFill>
                        <a:latin typeface="Times New Roman"/>
                        <a:ea typeface="Times New Roman"/>
                        <a:cs typeface="Times New Roman"/>
                      </a:defRPr>
                    </a:pPr>
                    <a:r>
                      <a:rPr lang="ru-RU"/>
                      <a:t>Акцизний податок
3,8%</a:t>
                    </a:r>
                  </a:p>
                </c:rich>
              </c:tx>
              <c:spPr>
                <a:solidFill>
                  <a:srgbClr val="FFFFFF"/>
                </a:solidFill>
                <a:ln w="27109">
                  <a:noFill/>
                </a:ln>
              </c:spPr>
              <c:dLblPos val="bestFit"/>
              <c:showLegendKey val="0"/>
              <c:showVal val="0"/>
              <c:showCatName val="0"/>
              <c:showSerName val="0"/>
              <c:showPercent val="0"/>
              <c:showBubbleSize val="0"/>
            </c:dLbl>
            <c:dLbl>
              <c:idx val="4"/>
              <c:dLblPos val="bestFit"/>
              <c:showLegendKey val="0"/>
              <c:showVal val="0"/>
              <c:showCatName val="1"/>
              <c:showSerName val="0"/>
              <c:showPercent val="1"/>
              <c:showBubbleSize val="0"/>
            </c:dLbl>
            <c:dLbl>
              <c:idx val="5"/>
              <c:layout>
                <c:manualLayout>
                  <c:x val="0.14020040753931681"/>
                  <c:y val="2.5288892896365298E-2"/>
                </c:manualLayout>
              </c:layout>
              <c:tx>
                <c:rich>
                  <a:bodyPr/>
                  <a:lstStyle/>
                  <a:p>
                    <a:pPr>
                      <a:defRPr sz="1014" b="1" i="0" u="none" strike="noStrike" baseline="0">
                        <a:solidFill>
                          <a:srgbClr val="000000"/>
                        </a:solidFill>
                        <a:latin typeface="Times New Roman"/>
                        <a:ea typeface="Times New Roman"/>
                        <a:cs typeface="Times New Roman"/>
                      </a:defRPr>
                    </a:pPr>
                    <a:r>
                      <a:rPr lang="ru-RU"/>
                      <a:t>Інші надходження
1,1%</a:t>
                    </a:r>
                  </a:p>
                </c:rich>
              </c:tx>
              <c:spPr>
                <a:solidFill>
                  <a:srgbClr val="FFFFFF"/>
                </a:solidFill>
                <a:ln w="27109">
                  <a:noFill/>
                </a:ln>
              </c:spPr>
              <c:dLblPos val="bestFit"/>
              <c:showLegendKey val="0"/>
              <c:showVal val="0"/>
              <c:showCatName val="0"/>
              <c:showSerName val="0"/>
              <c:showPercent val="0"/>
              <c:showBubbleSize val="0"/>
            </c:dLbl>
            <c:dLbl>
              <c:idx val="6"/>
              <c:delete val="1"/>
            </c:dLbl>
            <c:numFmt formatCode="0.0%" sourceLinked="0"/>
            <c:spPr>
              <a:solidFill>
                <a:srgbClr val="FFFFFF"/>
              </a:solidFill>
              <a:ln w="27109">
                <a:noFill/>
              </a:ln>
            </c:spPr>
            <c:txPr>
              <a:bodyPr/>
              <a:lstStyle/>
              <a:p>
                <a:pPr>
                  <a:defRPr sz="1014" b="1" i="0" u="none" strike="noStrike" baseline="0">
                    <a:solidFill>
                      <a:srgbClr val="000000"/>
                    </a:solidFill>
                    <a:latin typeface="Times New Roman"/>
                    <a:ea typeface="Times New Roman"/>
                    <a:cs typeface="Times New Roman"/>
                  </a:defRPr>
                </a:pPr>
                <a:endParaRPr lang="ru-RU"/>
              </a:p>
            </c:txPr>
            <c:showLegendKey val="0"/>
            <c:showVal val="0"/>
            <c:showCatName val="1"/>
            <c:showSerName val="0"/>
            <c:showPercent val="1"/>
            <c:showBubbleSize val="0"/>
            <c:showLeaderLines val="1"/>
          </c:dLbls>
          <c:cat>
            <c:strRef>
              <c:f>Sheet1!$B$1:$H$1</c:f>
              <c:strCache>
                <c:ptCount val="6"/>
                <c:pt idx="0">
                  <c:v>ПДФО </c:v>
                </c:pt>
                <c:pt idx="1">
                  <c:v>Плата за надання адмінпослуг</c:v>
                </c:pt>
                <c:pt idx="2">
                  <c:v>Податок на майно</c:v>
                </c:pt>
                <c:pt idx="3">
                  <c:v>Акцизний податок</c:v>
                </c:pt>
                <c:pt idx="4">
                  <c:v>Єдиний податок</c:v>
                </c:pt>
                <c:pt idx="5">
                  <c:v>Інші надходження</c:v>
                </c:pt>
              </c:strCache>
            </c:strRef>
          </c:cat>
          <c:val>
            <c:numRef>
              <c:f>Sheet1!$B$2:$H$2</c:f>
              <c:numCache>
                <c:formatCode>#,##0.00</c:formatCode>
                <c:ptCount val="7"/>
                <c:pt idx="0">
                  <c:v>54460.41</c:v>
                </c:pt>
                <c:pt idx="1">
                  <c:v>1224.3</c:v>
                </c:pt>
                <c:pt idx="2">
                  <c:v>15699.19</c:v>
                </c:pt>
                <c:pt idx="3">
                  <c:v>3583.91</c:v>
                </c:pt>
                <c:pt idx="4">
                  <c:v>19656.73</c:v>
                </c:pt>
                <c:pt idx="5">
                  <c:v>1052.46</c:v>
                </c:pt>
              </c:numCache>
            </c:numRef>
          </c:val>
        </c:ser>
        <c:ser>
          <c:idx val="1"/>
          <c:order val="1"/>
          <c:tx>
            <c:strRef>
              <c:f>Sheet1!$A$3</c:f>
              <c:strCache>
                <c:ptCount val="1"/>
              </c:strCache>
            </c:strRef>
          </c:tx>
          <c:spPr>
            <a:solidFill>
              <a:srgbClr val="993366"/>
            </a:solidFill>
            <a:ln w="13555">
              <a:solidFill>
                <a:srgbClr val="000000"/>
              </a:solidFill>
              <a:prstDash val="solid"/>
            </a:ln>
          </c:spPr>
          <c:dPt>
            <c:idx val="0"/>
            <c:bubble3D val="0"/>
            <c:spPr>
              <a:solidFill>
                <a:srgbClr val="9999FF"/>
              </a:solidFill>
              <a:ln w="13555">
                <a:solidFill>
                  <a:srgbClr val="000000"/>
                </a:solidFill>
                <a:prstDash val="solid"/>
              </a:ln>
            </c:spPr>
          </c:dPt>
          <c:dPt>
            <c:idx val="1"/>
            <c:bubble3D val="0"/>
          </c:dPt>
          <c:dPt>
            <c:idx val="2"/>
            <c:bubble3D val="0"/>
            <c:spPr>
              <a:solidFill>
                <a:srgbClr val="FFFFCC"/>
              </a:solidFill>
              <a:ln w="13555">
                <a:solidFill>
                  <a:srgbClr val="000000"/>
                </a:solidFill>
                <a:prstDash val="solid"/>
              </a:ln>
            </c:spPr>
          </c:dPt>
          <c:dPt>
            <c:idx val="3"/>
            <c:bubble3D val="0"/>
            <c:spPr>
              <a:solidFill>
                <a:srgbClr val="CCFFFF"/>
              </a:solidFill>
              <a:ln w="13555">
                <a:solidFill>
                  <a:srgbClr val="000000"/>
                </a:solidFill>
                <a:prstDash val="solid"/>
              </a:ln>
            </c:spPr>
          </c:dPt>
          <c:dPt>
            <c:idx val="4"/>
            <c:bubble3D val="0"/>
            <c:spPr>
              <a:solidFill>
                <a:srgbClr val="660066"/>
              </a:solidFill>
              <a:ln w="13555">
                <a:solidFill>
                  <a:srgbClr val="000000"/>
                </a:solidFill>
                <a:prstDash val="solid"/>
              </a:ln>
            </c:spPr>
          </c:dPt>
          <c:dPt>
            <c:idx val="5"/>
            <c:bubble3D val="0"/>
            <c:spPr>
              <a:solidFill>
                <a:srgbClr val="FF8080"/>
              </a:solidFill>
              <a:ln w="13555">
                <a:solidFill>
                  <a:srgbClr val="000000"/>
                </a:solidFill>
                <a:prstDash val="solid"/>
              </a:ln>
            </c:spPr>
          </c:dPt>
          <c:dPt>
            <c:idx val="6"/>
            <c:bubble3D val="0"/>
            <c:spPr>
              <a:solidFill>
                <a:srgbClr val="0066CC"/>
              </a:solidFill>
              <a:ln w="13555">
                <a:solidFill>
                  <a:srgbClr val="000000"/>
                </a:solidFill>
                <a:prstDash val="solid"/>
              </a:ln>
            </c:spPr>
          </c:dPt>
          <c:dLbls>
            <c:numFmt formatCode="0%" sourceLinked="0"/>
            <c:spPr>
              <a:noFill/>
              <a:ln w="27109">
                <a:noFill/>
              </a:ln>
            </c:spPr>
            <c:txPr>
              <a:bodyPr/>
              <a:lstStyle/>
              <a:p>
                <a:pPr>
                  <a:defRPr sz="1254"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strRef>
              <c:f>Sheet1!$B$1:$H$1</c:f>
              <c:strCache>
                <c:ptCount val="6"/>
                <c:pt idx="0">
                  <c:v>ПДФО </c:v>
                </c:pt>
                <c:pt idx="1">
                  <c:v>Плата за надання адмінпослуг</c:v>
                </c:pt>
                <c:pt idx="2">
                  <c:v>Податок на майно</c:v>
                </c:pt>
                <c:pt idx="3">
                  <c:v>Акцизний податок</c:v>
                </c:pt>
                <c:pt idx="4">
                  <c:v>Єдиний податок</c:v>
                </c:pt>
                <c:pt idx="5">
                  <c:v>Інші надходження</c:v>
                </c:pt>
              </c:strCache>
            </c:strRef>
          </c:cat>
          <c:val>
            <c:numRef>
              <c:f>Sheet1!$B$3:$H$3</c:f>
              <c:numCache>
                <c:formatCode>General</c:formatCode>
                <c:ptCount val="7"/>
              </c:numCache>
            </c:numRef>
          </c:val>
        </c:ser>
        <c:dLbls>
          <c:showLegendKey val="0"/>
          <c:showVal val="0"/>
          <c:showCatName val="0"/>
          <c:showSerName val="0"/>
          <c:showPercent val="1"/>
          <c:showBubbleSize val="0"/>
          <c:showLeaderLines val="1"/>
        </c:dLbls>
      </c:pie3DChart>
      <c:spPr>
        <a:noFill/>
        <a:ln w="27109">
          <a:noFill/>
        </a:ln>
      </c:spPr>
    </c:plotArea>
    <c:plotVisOnly val="1"/>
    <c:dispBlanksAs val="zero"/>
    <c:showDLblsOverMax val="0"/>
  </c:chart>
  <c:spPr>
    <a:noFill/>
    <a:ln>
      <a:noFill/>
    </a:ln>
  </c:spPr>
  <c:txPr>
    <a:bodyPr/>
    <a:lstStyle/>
    <a:p>
      <a:pPr>
        <a:defRPr sz="1254"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0"/>
    </c:view3D>
    <c:floor>
      <c:thickness val="0"/>
    </c:floor>
    <c:sideWall>
      <c:thickness val="0"/>
    </c:sideWall>
    <c:backWall>
      <c:thickness val="0"/>
    </c:backWall>
    <c:plotArea>
      <c:layout>
        <c:manualLayout>
          <c:layoutTarget val="inner"/>
          <c:xMode val="edge"/>
          <c:yMode val="edge"/>
          <c:x val="0.18781725888324874"/>
          <c:y val="0.2857142857142857"/>
          <c:w val="0.62605752961082906"/>
          <c:h val="0.47727272727272729"/>
        </c:manualLayout>
      </c:layout>
      <c:pie3DChart>
        <c:varyColors val="1"/>
        <c:ser>
          <c:idx val="0"/>
          <c:order val="0"/>
          <c:tx>
            <c:strRef>
              <c:f>Sheet1!$A$2</c:f>
              <c:strCache>
                <c:ptCount val="1"/>
                <c:pt idx="0">
                  <c:v>Восток</c:v>
                </c:pt>
              </c:strCache>
            </c:strRef>
          </c:tx>
          <c:spPr>
            <a:solidFill>
              <a:srgbClr val="9999FF"/>
            </a:solidFill>
            <a:ln w="13524">
              <a:solidFill>
                <a:srgbClr val="000000"/>
              </a:solidFill>
              <a:prstDash val="solid"/>
            </a:ln>
          </c:spPr>
          <c:dPt>
            <c:idx val="0"/>
            <c:bubble3D val="0"/>
          </c:dPt>
          <c:dPt>
            <c:idx val="1"/>
            <c:bubble3D val="0"/>
            <c:spPr>
              <a:solidFill>
                <a:srgbClr val="993366"/>
              </a:solidFill>
              <a:ln w="13524">
                <a:solidFill>
                  <a:srgbClr val="000000"/>
                </a:solidFill>
                <a:prstDash val="solid"/>
              </a:ln>
            </c:spPr>
          </c:dPt>
          <c:dPt>
            <c:idx val="2"/>
            <c:bubble3D val="0"/>
            <c:spPr>
              <a:solidFill>
                <a:srgbClr val="FFFFCC"/>
              </a:solidFill>
              <a:ln w="13524">
                <a:solidFill>
                  <a:srgbClr val="000000"/>
                </a:solidFill>
                <a:prstDash val="solid"/>
              </a:ln>
            </c:spPr>
          </c:dPt>
          <c:dPt>
            <c:idx val="3"/>
            <c:bubble3D val="0"/>
            <c:spPr>
              <a:solidFill>
                <a:srgbClr val="CCFFFF"/>
              </a:solidFill>
              <a:ln w="13524">
                <a:solidFill>
                  <a:srgbClr val="000000"/>
                </a:solidFill>
                <a:prstDash val="solid"/>
              </a:ln>
            </c:spPr>
          </c:dPt>
          <c:dPt>
            <c:idx val="4"/>
            <c:bubble3D val="0"/>
            <c:spPr>
              <a:solidFill>
                <a:srgbClr val="660066"/>
              </a:solidFill>
              <a:ln w="13524">
                <a:solidFill>
                  <a:srgbClr val="000000"/>
                </a:solidFill>
                <a:prstDash val="solid"/>
              </a:ln>
            </c:spPr>
          </c:dPt>
          <c:dPt>
            <c:idx val="5"/>
            <c:bubble3D val="0"/>
            <c:spPr>
              <a:solidFill>
                <a:srgbClr val="FF8080"/>
              </a:solidFill>
              <a:ln w="13524">
                <a:solidFill>
                  <a:srgbClr val="000000"/>
                </a:solidFill>
                <a:prstDash val="solid"/>
              </a:ln>
            </c:spPr>
          </c:dPt>
          <c:dPt>
            <c:idx val="6"/>
            <c:bubble3D val="0"/>
            <c:spPr>
              <a:solidFill>
                <a:srgbClr val="0066CC"/>
              </a:solidFill>
              <a:ln w="13524">
                <a:solidFill>
                  <a:srgbClr val="000000"/>
                </a:solidFill>
                <a:prstDash val="solid"/>
              </a:ln>
            </c:spPr>
          </c:dPt>
          <c:dLbls>
            <c:dLbl>
              <c:idx val="0"/>
              <c:layout>
                <c:manualLayout>
                  <c:x val="8.5861184974038107E-2"/>
                  <c:y val="0.11840837424846756"/>
                </c:manualLayout>
              </c:layout>
              <c:tx>
                <c:rich>
                  <a:bodyPr/>
                  <a:lstStyle/>
                  <a:p>
                    <a:pPr>
                      <a:defRPr sz="1065" b="1" i="0" u="none" strike="noStrike" baseline="0">
                        <a:solidFill>
                          <a:srgbClr val="000000"/>
                        </a:solidFill>
                        <a:latin typeface="Times New Roman"/>
                        <a:ea typeface="Times New Roman"/>
                        <a:cs typeface="Times New Roman"/>
                      </a:defRPr>
                    </a:pPr>
                    <a:r>
                      <a:rPr lang="ru-RU"/>
                      <a:t>Бюджетна 
сфера
53,7%</a:t>
                    </a:r>
                  </a:p>
                </c:rich>
              </c:tx>
              <c:spPr>
                <a:solidFill>
                  <a:srgbClr val="FFFFFF"/>
                </a:solidFill>
                <a:ln w="27048">
                  <a:noFill/>
                </a:ln>
              </c:spPr>
              <c:dLblPos val="bestFit"/>
              <c:showLegendKey val="0"/>
              <c:showVal val="0"/>
              <c:showCatName val="0"/>
              <c:showSerName val="0"/>
              <c:showPercent val="0"/>
              <c:showBubbleSize val="0"/>
            </c:dLbl>
            <c:dLbl>
              <c:idx val="1"/>
              <c:layout>
                <c:manualLayout>
                  <c:x val="-1.3389036260024917E-2"/>
                  <c:y val="6.9177239277389155E-2"/>
                </c:manualLayout>
              </c:layout>
              <c:dLblPos val="bestFit"/>
              <c:showLegendKey val="0"/>
              <c:showVal val="0"/>
              <c:showCatName val="1"/>
              <c:showSerName val="0"/>
              <c:showPercent val="1"/>
              <c:showBubbleSize val="0"/>
            </c:dLbl>
            <c:dLbl>
              <c:idx val="2"/>
              <c:layout>
                <c:manualLayout>
                  <c:x val="-4.2823417106797206E-2"/>
                  <c:y val="-6.3299223342756422E-2"/>
                </c:manualLayout>
              </c:layout>
              <c:tx>
                <c:rich>
                  <a:bodyPr/>
                  <a:lstStyle/>
                  <a:p>
                    <a:pPr>
                      <a:defRPr sz="1065" b="1" i="0" u="none" strike="noStrike" baseline="0">
                        <a:solidFill>
                          <a:srgbClr val="000000"/>
                        </a:solidFill>
                        <a:latin typeface="Times New Roman"/>
                        <a:ea typeface="Times New Roman"/>
                        <a:cs typeface="Times New Roman"/>
                      </a:defRPr>
                    </a:pPr>
                    <a:r>
                      <a:rPr lang="ru-RU"/>
                      <a:t>Промисловість
4,1%</a:t>
                    </a:r>
                  </a:p>
                </c:rich>
              </c:tx>
              <c:spPr>
                <a:solidFill>
                  <a:srgbClr val="FFFFFF"/>
                </a:solidFill>
                <a:ln w="27048">
                  <a:noFill/>
                </a:ln>
              </c:spPr>
              <c:dLblPos val="bestFit"/>
              <c:showLegendKey val="0"/>
              <c:showVal val="0"/>
              <c:showCatName val="0"/>
              <c:showSerName val="0"/>
              <c:showPercent val="0"/>
              <c:showBubbleSize val="0"/>
            </c:dLbl>
            <c:dLbl>
              <c:idx val="3"/>
              <c:layout>
                <c:manualLayout>
                  <c:x val="0.1004454975950617"/>
                  <c:y val="-0.16613699774070401"/>
                </c:manualLayout>
              </c:layout>
              <c:tx>
                <c:rich>
                  <a:bodyPr/>
                  <a:lstStyle/>
                  <a:p>
                    <a:pPr>
                      <a:defRPr sz="1065" b="1" i="0" u="none" strike="noStrike" baseline="0">
                        <a:solidFill>
                          <a:srgbClr val="000000"/>
                        </a:solidFill>
                        <a:latin typeface="Times New Roman"/>
                        <a:ea typeface="Times New Roman"/>
                        <a:cs typeface="Times New Roman"/>
                      </a:defRPr>
                    </a:pPr>
                    <a:r>
                      <a:rPr lang="ru-RU"/>
                      <a:t>Суб"єкти підприємництва
2,4%</a:t>
                    </a:r>
                  </a:p>
                </c:rich>
              </c:tx>
              <c:spPr>
                <a:solidFill>
                  <a:srgbClr val="FFFFFF"/>
                </a:solidFill>
                <a:ln w="27048">
                  <a:noFill/>
                </a:ln>
              </c:spPr>
              <c:dLblPos val="bestFit"/>
              <c:showLegendKey val="0"/>
              <c:showVal val="0"/>
              <c:showCatName val="0"/>
              <c:showSerName val="0"/>
              <c:showPercent val="0"/>
              <c:showBubbleSize val="0"/>
            </c:dLbl>
            <c:dLbl>
              <c:idx val="4"/>
              <c:tx>
                <c:rich>
                  <a:bodyPr/>
                  <a:lstStyle/>
                  <a:p>
                    <a:pPr>
                      <a:defRPr sz="1065" b="1" i="0" u="none" strike="noStrike" baseline="0">
                        <a:solidFill>
                          <a:srgbClr val="000000"/>
                        </a:solidFill>
                        <a:latin typeface="Times New Roman"/>
                        <a:ea typeface="Times New Roman"/>
                        <a:cs typeface="Times New Roman"/>
                      </a:defRPr>
                    </a:pPr>
                    <a:r>
                      <a:rPr lang="ru-RU"/>
                      <a:t>Транспорт, зв"язок
6,5%</a:t>
                    </a:r>
                  </a:p>
                </c:rich>
              </c:tx>
              <c:spPr>
                <a:solidFill>
                  <a:srgbClr val="FFFFFF"/>
                </a:solidFill>
                <a:ln w="27048">
                  <a:noFill/>
                </a:ln>
              </c:spPr>
              <c:dLblPos val="bestFit"/>
              <c:showLegendKey val="0"/>
              <c:showVal val="0"/>
              <c:showCatName val="0"/>
              <c:showSerName val="0"/>
              <c:showPercent val="0"/>
              <c:showBubbleSize val="0"/>
            </c:dLbl>
            <c:dLbl>
              <c:idx val="5"/>
              <c:layout>
                <c:manualLayout>
                  <c:x val="0.21619863099997139"/>
                  <c:y val="-0.11403772705423632"/>
                </c:manualLayout>
              </c:layout>
              <c:tx>
                <c:rich>
                  <a:bodyPr/>
                  <a:lstStyle/>
                  <a:p>
                    <a:pPr>
                      <a:defRPr sz="1065" b="1" i="0" u="none" strike="noStrike" baseline="0">
                        <a:solidFill>
                          <a:srgbClr val="000000"/>
                        </a:solidFill>
                        <a:latin typeface="Times New Roman"/>
                        <a:ea typeface="Times New Roman"/>
                        <a:cs typeface="Times New Roman"/>
                      </a:defRPr>
                    </a:pPr>
                    <a:r>
                      <a:rPr lang="ru-RU"/>
                      <a:t>Торгівля та Інші 
8,1%</a:t>
                    </a:r>
                  </a:p>
                </c:rich>
              </c:tx>
              <c:spPr>
                <a:solidFill>
                  <a:srgbClr val="FFFFFF"/>
                </a:solidFill>
                <a:ln w="27048">
                  <a:noFill/>
                </a:ln>
              </c:spPr>
              <c:dLblPos val="bestFit"/>
              <c:showLegendKey val="0"/>
              <c:showVal val="0"/>
              <c:showCatName val="0"/>
              <c:showSerName val="0"/>
              <c:showPercent val="0"/>
              <c:showBubbleSize val="0"/>
            </c:dLbl>
            <c:dLbl>
              <c:idx val="6"/>
              <c:delete val="1"/>
            </c:dLbl>
            <c:numFmt formatCode="0.0%" sourceLinked="0"/>
            <c:spPr>
              <a:solidFill>
                <a:srgbClr val="FFFFFF"/>
              </a:solidFill>
              <a:ln w="27048">
                <a:noFill/>
              </a:ln>
            </c:spPr>
            <c:txPr>
              <a:bodyPr/>
              <a:lstStyle/>
              <a:p>
                <a:pPr>
                  <a:defRPr sz="1065" b="1" i="0" u="none" strike="noStrike" baseline="0">
                    <a:solidFill>
                      <a:srgbClr val="000000"/>
                    </a:solidFill>
                    <a:latin typeface="Times New Roman"/>
                    <a:ea typeface="Times New Roman"/>
                    <a:cs typeface="Times New Roman"/>
                  </a:defRPr>
                </a:pPr>
                <a:endParaRPr lang="ru-RU"/>
              </a:p>
            </c:txPr>
            <c:showLegendKey val="0"/>
            <c:showVal val="0"/>
            <c:showCatName val="1"/>
            <c:showSerName val="0"/>
            <c:showPercent val="1"/>
            <c:showBubbleSize val="0"/>
            <c:showLeaderLines val="1"/>
          </c:dLbls>
          <c:cat>
            <c:strRef>
              <c:f>Sheet1!$B$1:$H$1</c:f>
              <c:strCache>
                <c:ptCount val="6"/>
                <c:pt idx="0">
                  <c:v>Бюджетна сфера</c:v>
                </c:pt>
                <c:pt idx="1">
                  <c:v>Сільське господарство</c:v>
                </c:pt>
                <c:pt idx="2">
                  <c:v>Промисловість</c:v>
                </c:pt>
                <c:pt idx="3">
                  <c:v>Суб"єкти підприємництва</c:v>
                </c:pt>
                <c:pt idx="4">
                  <c:v>Транспорт, зв"язок</c:v>
                </c:pt>
                <c:pt idx="5">
                  <c:v>Торгівля та Інші </c:v>
                </c:pt>
              </c:strCache>
            </c:strRef>
          </c:cat>
          <c:val>
            <c:numRef>
              <c:f>Sheet1!$B$2:$H$2</c:f>
              <c:numCache>
                <c:formatCode>General</c:formatCode>
                <c:ptCount val="7"/>
                <c:pt idx="0">
                  <c:v>48725.584190000001</c:v>
                </c:pt>
                <c:pt idx="1">
                  <c:v>22873.957470000001</c:v>
                </c:pt>
                <c:pt idx="2">
                  <c:v>3769.7914300000002</c:v>
                </c:pt>
                <c:pt idx="3">
                  <c:v>2145.5412099999999</c:v>
                </c:pt>
                <c:pt idx="4">
                  <c:v>5866.9643900000001</c:v>
                </c:pt>
                <c:pt idx="5" formatCode="#,##0.00">
                  <c:v>7385.52</c:v>
                </c:pt>
              </c:numCache>
            </c:numRef>
          </c:val>
        </c:ser>
        <c:ser>
          <c:idx val="1"/>
          <c:order val="1"/>
          <c:tx>
            <c:strRef>
              <c:f>Sheet1!$A$3</c:f>
              <c:strCache>
                <c:ptCount val="1"/>
              </c:strCache>
            </c:strRef>
          </c:tx>
          <c:spPr>
            <a:solidFill>
              <a:srgbClr val="993366"/>
            </a:solidFill>
            <a:ln w="13524">
              <a:solidFill>
                <a:srgbClr val="000000"/>
              </a:solidFill>
              <a:prstDash val="solid"/>
            </a:ln>
          </c:spPr>
          <c:dPt>
            <c:idx val="0"/>
            <c:bubble3D val="0"/>
            <c:spPr>
              <a:solidFill>
                <a:srgbClr val="9999FF"/>
              </a:solidFill>
              <a:ln w="13524">
                <a:solidFill>
                  <a:srgbClr val="000000"/>
                </a:solidFill>
                <a:prstDash val="solid"/>
              </a:ln>
            </c:spPr>
          </c:dPt>
          <c:dPt>
            <c:idx val="1"/>
            <c:bubble3D val="0"/>
          </c:dPt>
          <c:dPt>
            <c:idx val="2"/>
            <c:bubble3D val="0"/>
            <c:spPr>
              <a:solidFill>
                <a:srgbClr val="FFFFCC"/>
              </a:solidFill>
              <a:ln w="13524">
                <a:solidFill>
                  <a:srgbClr val="000000"/>
                </a:solidFill>
                <a:prstDash val="solid"/>
              </a:ln>
            </c:spPr>
          </c:dPt>
          <c:dPt>
            <c:idx val="3"/>
            <c:bubble3D val="0"/>
            <c:spPr>
              <a:solidFill>
                <a:srgbClr val="CCFFFF"/>
              </a:solidFill>
              <a:ln w="13524">
                <a:solidFill>
                  <a:srgbClr val="000000"/>
                </a:solidFill>
                <a:prstDash val="solid"/>
              </a:ln>
            </c:spPr>
          </c:dPt>
          <c:dPt>
            <c:idx val="4"/>
            <c:bubble3D val="0"/>
            <c:spPr>
              <a:solidFill>
                <a:srgbClr val="660066"/>
              </a:solidFill>
              <a:ln w="13524">
                <a:solidFill>
                  <a:srgbClr val="000000"/>
                </a:solidFill>
                <a:prstDash val="solid"/>
              </a:ln>
            </c:spPr>
          </c:dPt>
          <c:dPt>
            <c:idx val="5"/>
            <c:bubble3D val="0"/>
            <c:spPr>
              <a:solidFill>
                <a:srgbClr val="FF8080"/>
              </a:solidFill>
              <a:ln w="13524">
                <a:solidFill>
                  <a:srgbClr val="000000"/>
                </a:solidFill>
                <a:prstDash val="solid"/>
              </a:ln>
            </c:spPr>
          </c:dPt>
          <c:dPt>
            <c:idx val="6"/>
            <c:bubble3D val="0"/>
            <c:spPr>
              <a:solidFill>
                <a:srgbClr val="0066CC"/>
              </a:solidFill>
              <a:ln w="13524">
                <a:solidFill>
                  <a:srgbClr val="000000"/>
                </a:solidFill>
                <a:prstDash val="solid"/>
              </a:ln>
            </c:spPr>
          </c:dPt>
          <c:dLbls>
            <c:numFmt formatCode="0%" sourceLinked="0"/>
            <c:spPr>
              <a:noFill/>
              <a:ln w="27048">
                <a:noFill/>
              </a:ln>
            </c:spPr>
            <c:txPr>
              <a:bodyPr/>
              <a:lstStyle/>
              <a:p>
                <a:pPr>
                  <a:defRPr sz="1278"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strRef>
              <c:f>Sheet1!$B$1:$H$1</c:f>
              <c:strCache>
                <c:ptCount val="6"/>
                <c:pt idx="0">
                  <c:v>Бюджетна сфера</c:v>
                </c:pt>
                <c:pt idx="1">
                  <c:v>Сільське господарство</c:v>
                </c:pt>
                <c:pt idx="2">
                  <c:v>Промисловість</c:v>
                </c:pt>
                <c:pt idx="3">
                  <c:v>Суб"єкти підприємництва</c:v>
                </c:pt>
                <c:pt idx="4">
                  <c:v>Транспорт, зв"язок</c:v>
                </c:pt>
                <c:pt idx="5">
                  <c:v>Торгівля та Інші </c:v>
                </c:pt>
              </c:strCache>
            </c:strRef>
          </c:cat>
          <c:val>
            <c:numRef>
              <c:f>Sheet1!$B$3:$H$3</c:f>
              <c:numCache>
                <c:formatCode>General</c:formatCode>
                <c:ptCount val="7"/>
              </c:numCache>
            </c:numRef>
          </c:val>
        </c:ser>
        <c:dLbls>
          <c:showLegendKey val="0"/>
          <c:showVal val="0"/>
          <c:showCatName val="0"/>
          <c:showSerName val="0"/>
          <c:showPercent val="1"/>
          <c:showBubbleSize val="0"/>
          <c:showLeaderLines val="1"/>
        </c:dLbls>
      </c:pie3DChart>
      <c:spPr>
        <a:noFill/>
        <a:ln w="27048">
          <a:noFill/>
        </a:ln>
      </c:spPr>
    </c:plotArea>
    <c:plotVisOnly val="1"/>
    <c:dispBlanksAs val="zero"/>
    <c:showDLblsOverMax val="0"/>
  </c:chart>
  <c:spPr>
    <a:noFill/>
    <a:ln>
      <a:noFill/>
    </a:ln>
  </c:spPr>
  <c:txPr>
    <a:bodyPr/>
    <a:lstStyle/>
    <a:p>
      <a:pPr>
        <a:defRPr sz="1278"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E7261-D0B6-46D8-8EE6-E788667E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6602</Words>
  <Characters>37634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2022-02-08T09:48:00Z</cp:lastPrinted>
  <dcterms:created xsi:type="dcterms:W3CDTF">2022-01-31T10:51:00Z</dcterms:created>
  <dcterms:modified xsi:type="dcterms:W3CDTF">2022-02-09T12:20:00Z</dcterms:modified>
</cp:coreProperties>
</file>