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C1" w:rsidRDefault="00ED63C1" w:rsidP="00ED63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700AE51" wp14:editId="302C398F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C1" w:rsidRDefault="00ED63C1" w:rsidP="00ED63C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D63C1" w:rsidRDefault="00ED63C1" w:rsidP="00ED63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ED63C1" w:rsidRDefault="00ED63C1" w:rsidP="00ED63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D63C1" w:rsidRDefault="00ED63C1" w:rsidP="00ED6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B55CD0" w:rsidRPr="00B55CD0" w:rsidRDefault="00B55CD0" w:rsidP="00B55C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B55CD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 w:rsidRPr="00B55CD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B55CD0" w:rsidRPr="00B55CD0" w:rsidRDefault="00B55CD0" w:rsidP="00B55C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B55CD0" w:rsidRPr="00B55CD0" w:rsidRDefault="00B55CD0" w:rsidP="00B55CD0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55CD0" w:rsidRP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>Розглянувши клопотання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громадян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Бевз М.О., Чорного Ю.В., </w:t>
      </w:r>
      <w:r w:rsidR="00F5094D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>Волощук В.Ф., керуючись статтями 12,81,83,116,1</w:t>
      </w:r>
      <w:r>
        <w:rPr>
          <w:rFonts w:ascii="Times New Roman" w:hAnsi="Times New Roman"/>
          <w:sz w:val="28"/>
          <w:szCs w:val="28"/>
          <w:lang w:val="uk-UA" w:eastAsia="ar-SA"/>
        </w:rPr>
        <w:t>18,122,125, пунктом 21 Розділу «Перехідні  Положення»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 Земельного кодексу України, </w:t>
      </w:r>
      <w:r w:rsidRPr="00B55CD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статтею  13 Закону України “Про порядок виділення в натурі (на місцевості) земельних ділянок власникам земельних часток (паїв)”, 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>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5CD0" w:rsidRPr="00B55CD0" w:rsidRDefault="00B55CD0" w:rsidP="00B55CD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55CD0" w:rsidRPr="00B55CD0" w:rsidRDefault="00B55CD0" w:rsidP="00B55CD0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B55CD0" w:rsidRPr="00F5094D" w:rsidRDefault="00B55CD0" w:rsidP="00B55CD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B55CD0">
        <w:rPr>
          <w:lang w:val="uk-UA" w:eastAsia="ar-SA"/>
        </w:rPr>
        <w:t xml:space="preserve"> </w:t>
      </w:r>
    </w:p>
    <w:p w:rsidR="00B55CD0" w:rsidRPr="00B55CD0" w:rsidRDefault="00B55CD0" w:rsidP="00B55C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ab/>
        <w:t>1. Відмовити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громадянам Бевз Михайлу Олександровичу, Чорному Юрію Васильовичу, Волощук Вірі Федорівні у надані дозволів на розробку </w:t>
      </w:r>
      <w:proofErr w:type="spellStart"/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господарства, які розташовані на території Ананьївської міської територіальної громади за межами населених пунктів, у зв’язку з тим,  що бажане місце розташування земельних ділянок, зазначене в графічних матеріалах, знаходяться в межах земель, право власності на які посвідчено державним актом на право колективної вла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сності на землю колишнього КСП «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ім.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Ілліча»</w:t>
      </w:r>
      <w:r w:rsidRPr="00B55CD0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Pr="00B55CD0"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</w:p>
    <w:p w:rsidR="00B55CD0" w:rsidRPr="00B55CD0" w:rsidRDefault="00B55CD0" w:rsidP="00B55C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55CD0" w:rsidRPr="00B55CD0" w:rsidRDefault="00B55CD0" w:rsidP="00B55C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55CD0">
        <w:rPr>
          <w:rFonts w:ascii="Times New Roman" w:hAnsi="Times New Roman"/>
          <w:sz w:val="28"/>
          <w:szCs w:val="28"/>
          <w:lang w:val="uk-UA" w:eastAsia="ar-SA"/>
        </w:rPr>
        <w:tab/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55CD0" w:rsidRP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B55CD0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B55CD0" w:rsidRPr="00B55CD0" w:rsidRDefault="00B55CD0" w:rsidP="00B55C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55CD0" w:rsidRPr="00F5094D" w:rsidRDefault="00B55CD0" w:rsidP="00B55CD0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  <w:bookmarkStart w:id="0" w:name="_GoBack"/>
      <w:bookmarkEnd w:id="0"/>
    </w:p>
    <w:p w:rsidR="00A64E7E" w:rsidRPr="00ED63C1" w:rsidRDefault="00B55CD0" w:rsidP="00F5094D">
      <w:pPr>
        <w:suppressAutoHyphens/>
        <w:spacing w:after="0" w:line="240" w:lineRule="auto"/>
        <w:jc w:val="both"/>
        <w:rPr>
          <w:lang w:val="uk-UA"/>
        </w:rPr>
      </w:pP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</w:t>
      </w:r>
      <w:r w:rsidR="00F5094D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  <w:r w:rsidRPr="00B55CD0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Юрій ТИЩЕНКО   </w:t>
      </w:r>
    </w:p>
    <w:sectPr w:rsidR="00A64E7E" w:rsidRPr="00ED63C1" w:rsidSect="00F509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DE"/>
    <w:rsid w:val="00A64E7E"/>
    <w:rsid w:val="00AC1D8B"/>
    <w:rsid w:val="00B55CD0"/>
    <w:rsid w:val="00ED63C1"/>
    <w:rsid w:val="00F5094D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AA503"/>
  <w15:docId w15:val="{4B1A5A05-D477-455C-96B5-286DCFED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63C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2022-01-17T07:34:00Z</dcterms:created>
  <dcterms:modified xsi:type="dcterms:W3CDTF">2022-01-17T17:08:00Z</dcterms:modified>
</cp:coreProperties>
</file>