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EA" w:rsidRDefault="00E815EA" w:rsidP="00E815EA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6D4C7A77" wp14:editId="2A030F15">
            <wp:extent cx="525780" cy="6858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5EA" w:rsidRDefault="00E815EA" w:rsidP="00E815EA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E815EA" w:rsidRDefault="00E815EA" w:rsidP="00E815EA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</w:pPr>
      <w:r>
        <w:rPr>
          <w:rFonts w:ascii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E815EA" w:rsidRDefault="00E815EA" w:rsidP="00E815EA">
      <w:pPr>
        <w:suppressAutoHyphens/>
        <w:spacing w:after="120" w:line="2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Ананьїв</w:t>
      </w:r>
    </w:p>
    <w:p w:rsidR="00E815EA" w:rsidRDefault="00E815EA" w:rsidP="00E815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15EA" w:rsidRDefault="00E815EA" w:rsidP="00E815E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22 грудня 2021 року</w:t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</w:r>
      <w:r>
        <w:rPr>
          <w:rFonts w:ascii="Times New Roman" w:eastAsia="Calibri" w:hAnsi="Times New Roman"/>
          <w:sz w:val="28"/>
          <w:szCs w:val="28"/>
        </w:rPr>
        <w:tab/>
        <w:t xml:space="preserve">        № 47</w:t>
      </w:r>
      <w:r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ІІІ</w:t>
      </w:r>
    </w:p>
    <w:p w:rsidR="00270C41" w:rsidRPr="00270C41" w:rsidRDefault="00270C41" w:rsidP="00270C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b/>
          <w:sz w:val="28"/>
          <w:szCs w:val="28"/>
          <w:lang w:eastAsia="ar-SA"/>
        </w:rPr>
        <w:t xml:space="preserve">Про надання </w:t>
      </w:r>
      <w:r w:rsidRPr="004E72DC">
        <w:rPr>
          <w:rFonts w:ascii="Times New Roman" w:hAnsi="Times New Roman"/>
          <w:b/>
          <w:sz w:val="28"/>
          <w:szCs w:val="28"/>
          <w:lang w:eastAsia="ar-SA"/>
        </w:rPr>
        <w:t xml:space="preserve">дозволів на розробку </w:t>
      </w:r>
      <w:proofErr w:type="spellStart"/>
      <w:r w:rsidRPr="004E72DC">
        <w:rPr>
          <w:rFonts w:ascii="Times New Roman" w:hAnsi="Times New Roman"/>
          <w:b/>
          <w:sz w:val="28"/>
          <w:szCs w:val="28"/>
          <w:lang w:eastAsia="ar-SA"/>
        </w:rPr>
        <w:t>проєктів</w:t>
      </w:r>
      <w:proofErr w:type="spellEnd"/>
      <w:r w:rsidRPr="004E72DC">
        <w:rPr>
          <w:rFonts w:ascii="Times New Roman" w:hAnsi="Times New Roman"/>
          <w:b/>
          <w:sz w:val="28"/>
          <w:szCs w:val="28"/>
          <w:lang w:eastAsia="ar-SA"/>
        </w:rPr>
        <w:t xml:space="preserve"> землеустрою </w:t>
      </w: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</w:pPr>
      <w:r w:rsidRPr="004E72DC">
        <w:rPr>
          <w:rFonts w:ascii="Times New Roman" w:hAnsi="Times New Roman"/>
          <w:b/>
          <w:sz w:val="28"/>
          <w:szCs w:val="28"/>
          <w:lang w:eastAsia="ar-SA"/>
        </w:rPr>
        <w:t>щодо відведення земельних ділянок  для передачі їх безоплатно у власність</w:t>
      </w:r>
      <w:r w:rsidRPr="004E72DC"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для ведення особистого селянського господарства </w:t>
      </w: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в межах</w:t>
      </w: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val="ru-RU" w:eastAsia="ar-SA"/>
        </w:rPr>
        <w:t xml:space="preserve"> </w:t>
      </w:r>
      <w:r w:rsidRPr="004E72DC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населених пунктів</w:t>
      </w:r>
    </w:p>
    <w:p w:rsidR="004E72DC" w:rsidRPr="004E72DC" w:rsidRDefault="004E72DC" w:rsidP="004E72DC">
      <w:pPr>
        <w:suppressAutoHyphens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Розглянувши заяви громадян Ткаченко К.С.,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Какарук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О.В., Дутчак В.В.,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Шлапаченко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Н.І., Синиці В.В., Бабій М.І.,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Гуменко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Максимчука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Ліщенко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С.П.,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Агрич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Т.В.,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Дудич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С.Б.,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Ловенюкової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Л.А.,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Іващука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В.С.,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Мєшкурової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Г.М.,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О.В.,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Мєшкурової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Г.М. (законний представник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С.О.)., керуючись статтями 12,81,83,116,118,125 Земельного кодексу України, статтями 50,55,57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E72DC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E72DC" w:rsidRPr="000516B5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E72DC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 </w:t>
      </w:r>
      <w:bookmarkStart w:id="0" w:name="_GoBack"/>
      <w:bookmarkEnd w:id="0"/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        1. </w:t>
      </w:r>
      <w:r w:rsidRPr="004E72DC">
        <w:rPr>
          <w:rFonts w:ascii="Times New Roman" w:hAnsi="Times New Roman"/>
          <w:sz w:val="28"/>
          <w:szCs w:val="28"/>
          <w:lang w:eastAsia="ar-SA"/>
        </w:rPr>
        <w:t xml:space="preserve">Надати дозвіл на розробку </w:t>
      </w:r>
      <w:proofErr w:type="spellStart"/>
      <w:r w:rsidRPr="004E72DC">
        <w:rPr>
          <w:rFonts w:ascii="Times New Roman" w:hAnsi="Times New Roman"/>
          <w:sz w:val="28"/>
          <w:szCs w:val="28"/>
          <w:lang w:eastAsia="ar-SA"/>
        </w:rPr>
        <w:t>проєктів</w:t>
      </w:r>
      <w:proofErr w:type="spellEnd"/>
      <w:r w:rsidRPr="004E72DC"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для передачі їх безоплатно у власність для ведення особистого селянського господарства із земель комунальної власності,  які розташовані на території Ананьївської міської територіальної громади в межах населених пунктів</w:t>
      </w: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: 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 гр. Ткаченко Катерині Сергіївні орієнтовною площею 1,5000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Байтали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Маринича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Павла, 156;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1.2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Какарук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Олександру Васильовичу орієнтовною площею 2,0000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Байтали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Маринича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Павла, 133;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1.3 гр. Дутчак Василю Васильовичу орієнтовною площею 0,9900 га за адресою: Одеська область, Подільський район, с. Ананьїв,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Челюскіна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б/н;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1.4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Шлапаченко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Наталії Іванівні орієнтовною площею 0,7000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Романівка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вул. Гагаріна,30;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1.5 гр. Синиці Віктору Вікторовичу орієнтовною площею 0,7500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Жеребкове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вул. Балкова,1;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lastRenderedPageBreak/>
        <w:t>1.6 гр. Бабій Марії Іванівні орієнтовною площею 1,4000 га за адресою: Одеська область, Подільський район, с. Михайлівка, вул. Партизанська,6;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1.7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Гуменко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Оксані Василівні орієнтовною площею 1,0200 га за адресою: Одеська область, Подільський район, с. Ананьїв, вул. Миколи Харченка,30;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1.8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Максимчуку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Павлу Володимировичу орієнтовною площею 1,6872 га за адресою: Одеська область, Подільський район, с. Ананьїв, вул. Шевченка,167;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1.9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Ліщенко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Сергію Петровичу орієнтовною площею 0,4700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Байтали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вул. Затишна,4;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1.10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Агрич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Тетяні Валентинівні орієнтовною площею 1,9300 га за адресою: Одеська область, Подільський район, с. Ананьїв, вул. Сонячна,32;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1.11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Дудич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Сергію Борисовичу орієнтовною площею 0,1400 га за адресою: Одеська область, Подільський район, с. Ананьїв, вул. Храмова,98;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1.12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Ловенюковій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Людмилі Анатоліївні орієнтовною площею 0,3500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Жеребкове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О.Довженко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46;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1.13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Іващуку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Віктору Семеновичу орієнтовною площею 0,9000 га за адресою: Одеська область, Подільський район, с.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Жеребкове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Железнодорожна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5.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1.14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Мєшкуровій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Ганні Михайлівні орієнтовною площею 2,0000 га за адресою: Одеська область, Подільський район, с. Михайлівка,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Л.Українки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15;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1.15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Олегу Вікторовичу орієнтовною площею 2,0000 га за адресою: Одеська область, Подільський район, с. Михайлівка, вул.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Л.Українки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>, 21;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1.16 гр.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Станіславу Олеговичу (законний представник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eastAsia="ar-SA"/>
        </w:rPr>
        <w:t>Мєшкурова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Ганна Михайлівна) орієнтовною площею 1,3000 га за адресою: Одеська область, Подільський район, с. М</w:t>
      </w:r>
      <w:r w:rsidR="002D683E">
        <w:rPr>
          <w:rFonts w:ascii="Times New Roman" w:eastAsia="Calibri" w:hAnsi="Times New Roman"/>
          <w:sz w:val="28"/>
          <w:szCs w:val="28"/>
          <w:lang w:eastAsia="ar-SA"/>
        </w:rPr>
        <w:t xml:space="preserve">ихайлівка, вул. О. </w:t>
      </w:r>
      <w:proofErr w:type="spellStart"/>
      <w:r w:rsidR="002D683E">
        <w:rPr>
          <w:rFonts w:ascii="Times New Roman" w:eastAsia="Calibri" w:hAnsi="Times New Roman"/>
          <w:sz w:val="28"/>
          <w:szCs w:val="28"/>
          <w:lang w:eastAsia="ar-SA"/>
        </w:rPr>
        <w:t>Арсенюка</w:t>
      </w:r>
      <w:proofErr w:type="spellEnd"/>
      <w:r w:rsidR="002D683E">
        <w:rPr>
          <w:rFonts w:ascii="Times New Roman" w:eastAsia="Calibri" w:hAnsi="Times New Roman"/>
          <w:sz w:val="28"/>
          <w:szCs w:val="28"/>
          <w:lang w:eastAsia="ar-SA"/>
        </w:rPr>
        <w:t>, 12.</w:t>
      </w:r>
    </w:p>
    <w:p w:rsidR="004E72DC" w:rsidRPr="000516B5" w:rsidRDefault="004E72DC" w:rsidP="004E72DC">
      <w:pPr>
        <w:suppressAutoHyphens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E72DC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4E72DC">
        <w:rPr>
          <w:rFonts w:ascii="Times New Roman" w:eastAsia="MS Mincho" w:hAnsi="Times New Roman"/>
          <w:sz w:val="28"/>
          <w:szCs w:val="28"/>
          <w:lang w:eastAsia="ar-SA"/>
        </w:rPr>
        <w:t xml:space="preserve">Зобов’язати громадян, зазначених в пункті 1 рішення, </w:t>
      </w:r>
      <w:r w:rsidRPr="004E72DC">
        <w:rPr>
          <w:rFonts w:ascii="Times New Roman" w:hAnsi="Times New Roman"/>
          <w:sz w:val="28"/>
          <w:szCs w:val="28"/>
          <w:lang w:eastAsia="ar-SA"/>
        </w:rPr>
        <w:t xml:space="preserve">розроблені </w:t>
      </w:r>
      <w:proofErr w:type="spellStart"/>
      <w:r w:rsidRPr="004E72DC">
        <w:rPr>
          <w:rFonts w:ascii="Times New Roman" w:hAnsi="Times New Roman"/>
          <w:sz w:val="28"/>
          <w:szCs w:val="28"/>
          <w:lang w:eastAsia="ar-SA"/>
        </w:rPr>
        <w:t>проєкти</w:t>
      </w:r>
      <w:proofErr w:type="spellEnd"/>
      <w:r w:rsidRPr="004E72DC">
        <w:rPr>
          <w:rFonts w:ascii="Times New Roman" w:hAnsi="Times New Roman"/>
          <w:sz w:val="28"/>
          <w:szCs w:val="28"/>
          <w:lang w:eastAsia="ar-SA"/>
        </w:rPr>
        <w:t xml:space="preserve"> землеустрою щодо відведення земельних ділянок подати на затвердження до Ананьївської міської ради у встановленому порядку. </w:t>
      </w: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ru-RU" w:eastAsia="ar-SA"/>
        </w:rPr>
      </w:pPr>
      <w:r w:rsidRPr="004E72D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        3</w:t>
      </w:r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. Контроль за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виконанням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цього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рішення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покласти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на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постійну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комісію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r w:rsidRPr="004E72DC">
        <w:rPr>
          <w:rFonts w:ascii="Times New Roman" w:eastAsia="Calibri" w:hAnsi="Times New Roman"/>
          <w:sz w:val="28"/>
          <w:szCs w:val="28"/>
          <w:lang w:eastAsia="ar-SA"/>
        </w:rPr>
        <w:t xml:space="preserve">Ананьївської міської ради </w:t>
      </w:r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з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питань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земельних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відносин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природокористування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планування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території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будівництва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архітектури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охорони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пам’яток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,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історичного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</w:t>
      </w:r>
      <w:proofErr w:type="spellStart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>середовища</w:t>
      </w:r>
      <w:proofErr w:type="spellEnd"/>
      <w:r w:rsidRPr="004E72DC">
        <w:rPr>
          <w:rFonts w:ascii="Times New Roman" w:eastAsia="Calibri" w:hAnsi="Times New Roman"/>
          <w:sz w:val="28"/>
          <w:szCs w:val="28"/>
          <w:lang w:val="ru-RU" w:eastAsia="ar-SA"/>
        </w:rPr>
        <w:t xml:space="preserve"> та благоустрою.</w:t>
      </w:r>
    </w:p>
    <w:p w:rsidR="004E72DC" w:rsidRPr="004E72DC" w:rsidRDefault="004E72DC" w:rsidP="004E72D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4"/>
          <w:szCs w:val="24"/>
          <w:lang w:val="ru-RU" w:eastAsia="ar-SA"/>
        </w:rPr>
      </w:pPr>
      <w:r w:rsidRPr="004E72DC">
        <w:rPr>
          <w:rFonts w:ascii="Times New Roman" w:eastAsia="Calibri" w:hAnsi="Times New Roman"/>
          <w:sz w:val="24"/>
          <w:szCs w:val="24"/>
          <w:lang w:val="ru-RU" w:eastAsia="ar-SA"/>
        </w:rPr>
        <w:t xml:space="preserve"> </w:t>
      </w: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4E72DC" w:rsidRPr="004E72DC" w:rsidRDefault="004E72DC" w:rsidP="004E72DC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4E72DC">
        <w:rPr>
          <w:rFonts w:ascii="Times New Roman" w:eastAsia="MS Mincho" w:hAnsi="Times New Roman"/>
          <w:b/>
          <w:sz w:val="28"/>
          <w:szCs w:val="28"/>
          <w:lang w:eastAsia="ar-SA"/>
        </w:rPr>
        <w:t xml:space="preserve">Ананьївський міський голова                                             Юрій ТИЩЕНКО  </w:t>
      </w:r>
    </w:p>
    <w:p w:rsidR="004E72DC" w:rsidRPr="004E72DC" w:rsidRDefault="004E72DC" w:rsidP="004E72D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eastAsia="Calibri"/>
        </w:rPr>
      </w:pPr>
    </w:p>
    <w:p w:rsidR="00CE509A" w:rsidRDefault="00CE509A" w:rsidP="004E72DC">
      <w:pPr>
        <w:suppressAutoHyphens/>
        <w:spacing w:after="0" w:line="240" w:lineRule="auto"/>
        <w:jc w:val="center"/>
      </w:pPr>
    </w:p>
    <w:sectPr w:rsidR="00CE509A" w:rsidSect="00270C41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4A"/>
    <w:rsid w:val="000516B5"/>
    <w:rsid w:val="00270C41"/>
    <w:rsid w:val="002D683E"/>
    <w:rsid w:val="0039055B"/>
    <w:rsid w:val="004E72DC"/>
    <w:rsid w:val="00AC664A"/>
    <w:rsid w:val="00CE509A"/>
    <w:rsid w:val="00E8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692D"/>
  <w15:chartTrackingRefBased/>
  <w15:docId w15:val="{0FE6C702-F62C-4A67-AB9D-FC2E0325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55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2757</Words>
  <Characters>1572</Characters>
  <Application>Microsoft Office Word</Application>
  <DocSecurity>0</DocSecurity>
  <Lines>13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2021-12-06T16:23:00Z</dcterms:created>
  <dcterms:modified xsi:type="dcterms:W3CDTF">2021-12-18T09:41:00Z</dcterms:modified>
</cp:coreProperties>
</file>