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0" w:rsidRPr="009E6050" w:rsidRDefault="003349E0" w:rsidP="003349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E6050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1B8E733" wp14:editId="2D8A439B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E0" w:rsidRPr="009E6050" w:rsidRDefault="003349E0" w:rsidP="003349E0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E605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  <w:bookmarkStart w:id="0" w:name="_GoBack"/>
      <w:bookmarkEnd w:id="0"/>
    </w:p>
    <w:p w:rsidR="003349E0" w:rsidRPr="009E6050" w:rsidRDefault="003349E0" w:rsidP="003349E0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E605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349E0" w:rsidRPr="009E6050" w:rsidRDefault="003349E0" w:rsidP="003349E0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9E605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349E0" w:rsidRPr="009E6050" w:rsidRDefault="003349E0" w:rsidP="00334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9E0" w:rsidRDefault="003349E0" w:rsidP="00334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050">
        <w:rPr>
          <w:rFonts w:ascii="Times New Roman" w:hAnsi="Times New Roman"/>
          <w:sz w:val="28"/>
          <w:szCs w:val="28"/>
        </w:rPr>
        <w:t xml:space="preserve">22 грудня </w:t>
      </w:r>
      <w:r>
        <w:rPr>
          <w:rFonts w:ascii="Times New Roman" w:hAnsi="Times New Roman"/>
          <w:sz w:val="28"/>
          <w:szCs w:val="28"/>
        </w:rPr>
        <w:t>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463</w:t>
      </w:r>
      <w:r w:rsidRPr="009E6050">
        <w:rPr>
          <w:rFonts w:ascii="Times New Roman" w:hAnsi="Times New Roman"/>
          <w:sz w:val="28"/>
          <w:szCs w:val="28"/>
        </w:rPr>
        <w:t>-</w:t>
      </w:r>
      <w:r w:rsidRPr="009E6050">
        <w:rPr>
          <w:rFonts w:ascii="Times New Roman" w:hAnsi="Times New Roman"/>
          <w:sz w:val="28"/>
          <w:szCs w:val="28"/>
          <w:lang w:val="en-US"/>
        </w:rPr>
        <w:t>V</w:t>
      </w:r>
      <w:r w:rsidRPr="009E6050">
        <w:rPr>
          <w:rFonts w:ascii="Times New Roman" w:hAnsi="Times New Roman"/>
          <w:sz w:val="28"/>
          <w:szCs w:val="28"/>
        </w:rPr>
        <w:t>ІІІ</w:t>
      </w:r>
    </w:p>
    <w:p w:rsidR="00B20443" w:rsidRPr="009E6050" w:rsidRDefault="00B20443" w:rsidP="00334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480" w:rsidRPr="00F64480" w:rsidRDefault="00F64480" w:rsidP="00F64480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644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фінансового плану Комунального</w:t>
      </w:r>
    </w:p>
    <w:p w:rsidR="00F64480" w:rsidRPr="00F64480" w:rsidRDefault="00F64480" w:rsidP="00F64480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44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некомерційного підприємства «Ананьївська багатопрофільна</w:t>
      </w:r>
    </w:p>
    <w:p w:rsidR="00F64480" w:rsidRPr="00F64480" w:rsidRDefault="00F64480" w:rsidP="00F64480">
      <w:pPr>
        <w:spacing w:after="17" w:line="240" w:lineRule="auto"/>
        <w:ind w:left="20" w:right="40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eastAsia="uk-UA" w:bidi="uk-UA"/>
        </w:rPr>
      </w:pPr>
      <w:r w:rsidRPr="00F644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міська лікарня Ананьївської міської ради» на 2022 рік  </w:t>
      </w:r>
    </w:p>
    <w:p w:rsidR="00F64480" w:rsidRPr="00F64480" w:rsidRDefault="00F64480" w:rsidP="00F64480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uk-UA" w:bidi="uk-UA"/>
        </w:rPr>
      </w:pPr>
    </w:p>
    <w:p w:rsidR="00F64480" w:rsidRPr="00290F91" w:rsidRDefault="00F64480" w:rsidP="00290F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0F91">
        <w:rPr>
          <w:rFonts w:ascii="Times New Roman" w:hAnsi="Times New Roman"/>
          <w:sz w:val="28"/>
          <w:szCs w:val="28"/>
        </w:rPr>
        <w:t xml:space="preserve">Керуючись статтями 25,27,59 Закону України «Про місцеве самоврядування в Україні», частиною десятою статті 78 Господарського кодексу України, </w:t>
      </w:r>
      <w:r w:rsidR="006066A1" w:rsidRPr="00290F91">
        <w:rPr>
          <w:rFonts w:ascii="Times New Roman" w:hAnsi="Times New Roman"/>
          <w:sz w:val="28"/>
          <w:szCs w:val="28"/>
        </w:rPr>
        <w:t xml:space="preserve">враховуючи рішення виконавчого комітету Ананьївської міської ради від  </w:t>
      </w:r>
      <w:r w:rsidR="00D67928" w:rsidRPr="00290F91">
        <w:rPr>
          <w:rFonts w:ascii="Times New Roman" w:hAnsi="Times New Roman"/>
          <w:sz w:val="28"/>
          <w:szCs w:val="28"/>
        </w:rPr>
        <w:t>20</w:t>
      </w:r>
      <w:r w:rsidR="003349E0" w:rsidRPr="00290F91">
        <w:rPr>
          <w:rFonts w:ascii="Times New Roman" w:hAnsi="Times New Roman"/>
          <w:sz w:val="28"/>
          <w:szCs w:val="28"/>
        </w:rPr>
        <w:t xml:space="preserve"> грудня 2021 року №</w:t>
      </w:r>
      <w:r w:rsidR="0073563A" w:rsidRPr="00290F91">
        <w:rPr>
          <w:rFonts w:ascii="Times New Roman" w:hAnsi="Times New Roman"/>
          <w:sz w:val="28"/>
          <w:szCs w:val="28"/>
        </w:rPr>
        <w:t>297</w:t>
      </w:r>
      <w:r w:rsidR="006066A1" w:rsidRPr="00290F91">
        <w:rPr>
          <w:rFonts w:ascii="Times New Roman" w:hAnsi="Times New Roman"/>
          <w:sz w:val="28"/>
          <w:szCs w:val="28"/>
        </w:rPr>
        <w:t xml:space="preserve">«Про схвалення </w:t>
      </w:r>
      <w:proofErr w:type="spellStart"/>
      <w:r w:rsidR="006066A1" w:rsidRPr="00290F91">
        <w:rPr>
          <w:rFonts w:ascii="Times New Roman" w:hAnsi="Times New Roman"/>
          <w:sz w:val="28"/>
          <w:szCs w:val="28"/>
        </w:rPr>
        <w:t>проєкту</w:t>
      </w:r>
      <w:proofErr w:type="spellEnd"/>
      <w:r w:rsidR="006066A1" w:rsidRPr="00290F91">
        <w:rPr>
          <w:rFonts w:ascii="Times New Roman" w:hAnsi="Times New Roman"/>
          <w:sz w:val="28"/>
          <w:szCs w:val="28"/>
        </w:rPr>
        <w:t xml:space="preserve"> рішення міської ради «Про затвердження фінансового плану Комунального некомерційного підприємства «Ананьївська багатопрофільна  міська лікарня Ананьївської міської ради» на 2022 рік,  </w:t>
      </w:r>
      <w:r w:rsidRPr="00290F91">
        <w:rPr>
          <w:rFonts w:ascii="Times New Roman" w:hAnsi="Times New Roman"/>
          <w:sz w:val="28"/>
          <w:szCs w:val="28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AD2668" w:rsidRPr="00BE53DF" w:rsidRDefault="00AD2668" w:rsidP="00BE53DF">
      <w:pPr>
        <w:spacing w:after="0"/>
        <w:rPr>
          <w:rFonts w:ascii="Times New Roman" w:hAnsi="Times New Roman"/>
          <w:sz w:val="24"/>
          <w:szCs w:val="24"/>
        </w:rPr>
      </w:pPr>
    </w:p>
    <w:p w:rsidR="00F64480" w:rsidRPr="00F64480" w:rsidRDefault="00F64480" w:rsidP="00F64480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 w:rsidRPr="00F64480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F64480" w:rsidRPr="00F64480" w:rsidRDefault="00F64480" w:rsidP="00F64480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uk-UA" w:bidi="uk-UA"/>
        </w:rPr>
      </w:pPr>
    </w:p>
    <w:p w:rsidR="00F64480" w:rsidRPr="00F64480" w:rsidRDefault="00F64480" w:rsidP="00F64480">
      <w:pPr>
        <w:spacing w:after="17" w:line="240" w:lineRule="auto"/>
        <w:ind w:right="4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4480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Затвердити </w:t>
      </w:r>
      <w:r w:rsidRPr="00F64480">
        <w:rPr>
          <w:rFonts w:ascii="Times New Roman" w:eastAsia="Times New Roman" w:hAnsi="Times New Roman"/>
          <w:bCs/>
          <w:sz w:val="28"/>
          <w:szCs w:val="28"/>
          <w:lang w:eastAsia="ru-RU"/>
        </w:rPr>
        <w:t>фінансовий план Комунального некомерційного підприємства «Ананьївська багатопрофільна міська лікарня Ананьївської міської ради» на 2022 рік, що додається.</w:t>
      </w:r>
    </w:p>
    <w:p w:rsidR="00F64480" w:rsidRPr="00F64480" w:rsidRDefault="00F64480" w:rsidP="00F64480">
      <w:pPr>
        <w:spacing w:after="17" w:line="240" w:lineRule="auto"/>
        <w:ind w:right="40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uk-UA" w:bidi="uk-UA"/>
        </w:rPr>
      </w:pPr>
    </w:p>
    <w:p w:rsidR="00F64480" w:rsidRPr="00996759" w:rsidRDefault="00F64480" w:rsidP="00F64480">
      <w:pPr>
        <w:spacing w:after="0" w:line="240" w:lineRule="auto"/>
        <w:ind w:firstLine="708"/>
        <w:jc w:val="both"/>
        <w:rPr>
          <w:rFonts w:ascii="Times New Roman" w:eastAsia="Arial" w:hAnsi="Times New Roman"/>
          <w:b/>
          <w:sz w:val="28"/>
          <w:szCs w:val="28"/>
          <w:lang w:eastAsia="uk-UA" w:bidi="uk-UA"/>
        </w:rPr>
      </w:pPr>
      <w:r w:rsidRPr="00F6448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96759">
        <w:rPr>
          <w:rFonts w:ascii="Times New Roman" w:eastAsia="Times New Roman" w:hAnsi="Times New Roman"/>
          <w:sz w:val="28"/>
          <w:szCs w:val="28"/>
          <w:lang w:eastAsia="ru-RU"/>
        </w:rPr>
        <w:t xml:space="preserve">Здійснення контролю за виконанням </w:t>
      </w:r>
      <w:r w:rsidRPr="00996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фінансового плану Комунального некомерційного підприємства «Ананьївська багатопрофільна міська лікарня Ананьївської міської ради» на 2022 рік покласти на виконавчий комітет Ананьївської міської ради.  </w:t>
      </w:r>
    </w:p>
    <w:p w:rsidR="00F64480" w:rsidRPr="00F64480" w:rsidRDefault="00F64480" w:rsidP="00F644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64480" w:rsidRPr="00F64480" w:rsidRDefault="00F64480" w:rsidP="00F644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480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даного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F64480" w:rsidRPr="00F64480" w:rsidRDefault="00F64480" w:rsidP="00F6448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4480" w:rsidRPr="00F64480" w:rsidRDefault="00F64480" w:rsidP="00F64480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4480" w:rsidRPr="00F64480" w:rsidRDefault="00F64480" w:rsidP="00F64480">
      <w:pPr>
        <w:spacing w:after="20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44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      </w:t>
      </w:r>
      <w:r w:rsidRPr="00F6448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</w:t>
      </w:r>
      <w:r w:rsidR="00AD26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F64480"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p w:rsidR="00F64480" w:rsidRPr="00F64480" w:rsidRDefault="00F64480" w:rsidP="00F64480">
      <w:pPr>
        <w:spacing w:after="200" w:line="276" w:lineRule="auto"/>
        <w:rPr>
          <w:lang w:val="ru-RU"/>
        </w:rPr>
      </w:pPr>
    </w:p>
    <w:p w:rsidR="00330EDC" w:rsidRPr="00330EDC" w:rsidRDefault="00330EDC" w:rsidP="00330EDC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30EDC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Пояснювальна записка</w:t>
      </w:r>
    </w:p>
    <w:p w:rsidR="00330EDC" w:rsidRPr="00330EDC" w:rsidRDefault="00330EDC" w:rsidP="00330EDC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SimSun" w:hAnsi="Times New Roman"/>
          <w:b/>
          <w:lang w:eastAsia="ar-SA"/>
        </w:rPr>
      </w:pPr>
      <w:r w:rsidRPr="00330EDC">
        <w:rPr>
          <w:rFonts w:ascii="Times New Roman" w:eastAsia="Times New Roman" w:hAnsi="Times New Roman"/>
          <w:b/>
          <w:sz w:val="28"/>
          <w:szCs w:val="28"/>
          <w:lang w:eastAsia="ar-SA"/>
        </w:rPr>
        <w:t>до рішення Ананьївської міської ради «Про затвердження фінансового плану на 2022 рік Комунального некомерційного підприємства «Ананьївська багатопрофільна міська лікарня Ананьївської міської ради»</w:t>
      </w:r>
    </w:p>
    <w:p w:rsidR="00330EDC" w:rsidRPr="00330EDC" w:rsidRDefault="00330EDC" w:rsidP="00330EDC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rPr>
          <w:rFonts w:ascii="Times New Roman" w:eastAsia="SimSun" w:hAnsi="Times New Roman"/>
          <w:lang w:eastAsia="ar-SA"/>
        </w:rPr>
      </w:pP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>КНП «Ананьївська багатопрофільна міська лікарня Ананьївської міської ради» направлена на поліпшення здоров’я населення, забезпечення доступу всіх членів суспільства до медичних послуг належної якості.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>КНП «Ананьївська БМЛ» обслуговує</w:t>
      </w:r>
      <w:r w:rsidRPr="00330EDC">
        <w:rPr>
          <w:rFonts w:ascii="Times New Roman" w:eastAsia="Times New Roman" w:hAnsi="Times New Roman"/>
          <w:sz w:val="28"/>
          <w:szCs w:val="28"/>
          <w:lang w:eastAsia="ar-SA"/>
        </w:rPr>
        <w:t xml:space="preserve"> все населення району - 24389чол.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>КНП «Ананьївська БМЛ» на 2022 рік планує отримати бюджетних асигнувань в сумі 25475,1 тис. грн.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Кількість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фізичних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осіб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по КНП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«Ананьївська БМЛ» станом на 01.01.2022р. с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тановить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 111,0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шт.од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.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30EDC">
        <w:rPr>
          <w:rFonts w:ascii="Times New Roman" w:hAnsi="Times New Roman"/>
          <w:sz w:val="28"/>
          <w:szCs w:val="28"/>
          <w:lang w:val="ru-RU" w:eastAsia="ar-SA"/>
        </w:rPr>
        <w:t>в т. ч.: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лікарі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                                    - 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24,0   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>од.;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середній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eastAsia="ar-SA"/>
        </w:rPr>
        <w:t>мед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персонал         - </w:t>
      </w:r>
      <w:r w:rsidRPr="00330EDC">
        <w:rPr>
          <w:rFonts w:ascii="Times New Roman" w:hAnsi="Times New Roman"/>
          <w:sz w:val="28"/>
          <w:szCs w:val="28"/>
          <w:lang w:eastAsia="ar-SA"/>
        </w:rPr>
        <w:t>36,5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од;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proofErr w:type="gramStart"/>
      <w:r w:rsidRPr="00330EDC">
        <w:rPr>
          <w:rFonts w:ascii="Times New Roman" w:hAnsi="Times New Roman"/>
          <w:sz w:val="28"/>
          <w:szCs w:val="28"/>
          <w:lang w:val="ru-RU" w:eastAsia="ar-SA"/>
        </w:rPr>
        <w:t>молодший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мед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>персона</w:t>
      </w:r>
      <w:r w:rsidRPr="00330EDC">
        <w:rPr>
          <w:rFonts w:ascii="Times New Roman" w:hAnsi="Times New Roman"/>
          <w:sz w:val="28"/>
          <w:szCs w:val="28"/>
          <w:lang w:eastAsia="ar-SA"/>
        </w:rPr>
        <w:t>л</w:t>
      </w:r>
      <w:proofErr w:type="gram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    -  </w:t>
      </w:r>
      <w:r w:rsidRPr="00330EDC">
        <w:rPr>
          <w:rFonts w:ascii="Times New Roman" w:hAnsi="Times New Roman"/>
          <w:sz w:val="28"/>
          <w:szCs w:val="28"/>
          <w:lang w:eastAsia="ar-SA"/>
        </w:rPr>
        <w:t>20,5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од.;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інш</w:t>
      </w:r>
      <w:r w:rsidRPr="00330EDC">
        <w:rPr>
          <w:rFonts w:ascii="Times New Roman" w:hAnsi="Times New Roman"/>
          <w:sz w:val="28"/>
          <w:szCs w:val="28"/>
          <w:lang w:eastAsia="ar-SA"/>
        </w:rPr>
        <w:t>ий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 персонал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                 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>-3</w:t>
      </w:r>
      <w:r w:rsidRPr="00330EDC">
        <w:rPr>
          <w:rFonts w:ascii="Times New Roman" w:hAnsi="Times New Roman"/>
          <w:sz w:val="28"/>
          <w:szCs w:val="28"/>
          <w:lang w:eastAsia="ar-SA"/>
        </w:rPr>
        <w:t>0,0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>од.;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Дохідна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330EDC">
        <w:rPr>
          <w:rFonts w:ascii="Times New Roman" w:hAnsi="Times New Roman"/>
          <w:sz w:val="28"/>
          <w:szCs w:val="28"/>
          <w:lang w:val="ru-RU" w:eastAsia="ar-SA"/>
        </w:rPr>
        <w:t>частина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фінансового</w:t>
      </w:r>
      <w:proofErr w:type="spellEnd"/>
      <w:proofErr w:type="gram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плану на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>20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22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рік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 складає — 25475,1тис.грн в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т.ч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.: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рядок 100 Дохід від реалізації продукції ( НСЗУ)- 21629,9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рядок 110 Дохід з місцевого бюджету - 3145,2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– кошти загального фонду місцевого бюджету (вода- 627,4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, електрична енергія — 722,5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газопостачання — 1745,4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оренда житла лікарям — 49,9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).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рядок 120 «Інші доходи від операційної діяльності» - 700,0 тис. грн., в тому числі: (а саме медичні огляди — 500,0тис.грн., 200,0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 - зубопротезування)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Витрати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установи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складаються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з: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- 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рядок </w:t>
      </w:r>
      <w:r w:rsidRPr="00330EDC">
        <w:rPr>
          <w:rFonts w:ascii="Times New Roman" w:hAnsi="Times New Roman"/>
          <w:sz w:val="28"/>
          <w:szCs w:val="28"/>
          <w:lang w:eastAsia="ar-SA"/>
        </w:rPr>
        <w:t>140 «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Собівартість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реалізованої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продукції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»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разом становить 1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9941,5 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>тис.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грн.,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в тому числі: 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Матеріальні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затрати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становлять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–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1583,6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>.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в тому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числі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>: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val="ru-RU" w:eastAsia="ar-SA"/>
        </w:rPr>
        <w:t>«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Предмети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матеріали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обладнання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інвентар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» - </w:t>
      </w:r>
      <w:r w:rsidRPr="00330EDC">
        <w:rPr>
          <w:rFonts w:ascii="Times New Roman" w:hAnsi="Times New Roman"/>
          <w:sz w:val="28"/>
          <w:szCs w:val="28"/>
          <w:lang w:eastAsia="ar-SA"/>
        </w:rPr>
        <w:t>162,4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 xml:space="preserve">Продукти харчування – 821,2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="002865DF">
        <w:rPr>
          <w:rFonts w:ascii="Times New Roman" w:hAnsi="Times New Roman"/>
          <w:sz w:val="28"/>
          <w:szCs w:val="28"/>
          <w:lang w:eastAsia="ar-SA"/>
        </w:rPr>
        <w:t>.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 xml:space="preserve">медикаменти — 600,0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</w:p>
    <w:p w:rsidR="00330EDC" w:rsidRPr="00330EDC" w:rsidRDefault="00330EDC" w:rsidP="00330EDC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Витрати</w:t>
      </w:r>
      <w:proofErr w:type="spellEnd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 xml:space="preserve"> на оплату </w:t>
      </w:r>
      <w:proofErr w:type="spellStart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праці</w:t>
      </w:r>
      <w:proofErr w:type="spellEnd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 xml:space="preserve"> </w:t>
      </w:r>
      <w:r w:rsidRPr="00330EDC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план – 12714,4 </w:t>
      </w:r>
      <w:proofErr w:type="spellStart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тис.грн</w:t>
      </w:r>
      <w:proofErr w:type="spellEnd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.</w:t>
      </w:r>
      <w:r w:rsidRPr="00330EDC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, </w:t>
      </w:r>
    </w:p>
    <w:p w:rsidR="00330EDC" w:rsidRPr="00330EDC" w:rsidRDefault="00330EDC" w:rsidP="00330EDC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val="ru-RU" w:eastAsia="ar-SA"/>
        </w:rPr>
      </w:pPr>
      <w:proofErr w:type="spellStart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Відрахування</w:t>
      </w:r>
      <w:proofErr w:type="spellEnd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 xml:space="preserve"> на </w:t>
      </w:r>
      <w:proofErr w:type="spellStart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соціальні</w:t>
      </w:r>
      <w:proofErr w:type="spellEnd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 xml:space="preserve"> заходи» </w:t>
      </w:r>
      <w:r w:rsidRPr="00330EDC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план – 2797,2 </w:t>
      </w:r>
      <w:proofErr w:type="spellStart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тис.гр</w:t>
      </w:r>
      <w:proofErr w:type="spellEnd"/>
      <w:r w:rsidRPr="00330EDC">
        <w:rPr>
          <w:rFonts w:ascii="Times New Roman" w:eastAsia="SimSun" w:hAnsi="Times New Roman"/>
          <w:b/>
          <w:sz w:val="28"/>
          <w:szCs w:val="28"/>
          <w:lang w:eastAsia="ar-SA"/>
        </w:rPr>
        <w:t>н.,</w:t>
      </w:r>
    </w:p>
    <w:p w:rsidR="00330EDC" w:rsidRPr="00330EDC" w:rsidRDefault="00330EDC" w:rsidP="00330EDC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val="ru-RU" w:eastAsia="ar-SA"/>
        </w:rPr>
      </w:pPr>
      <w:proofErr w:type="spellStart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Інші</w:t>
      </w:r>
      <w:proofErr w:type="spellEnd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операційні</w:t>
      </w:r>
      <w:proofErr w:type="spellEnd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витрати</w:t>
      </w:r>
      <w:proofErr w:type="spellEnd"/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 xml:space="preserve"> – 2</w:t>
      </w:r>
      <w:r w:rsidRPr="00330EDC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846,3 </w:t>
      </w:r>
      <w:r w:rsidRPr="00330EDC">
        <w:rPr>
          <w:rFonts w:ascii="Times New Roman" w:eastAsia="SimSun" w:hAnsi="Times New Roman"/>
          <w:b/>
          <w:sz w:val="28"/>
          <w:szCs w:val="28"/>
          <w:lang w:val="ru-RU" w:eastAsia="ar-SA"/>
        </w:rPr>
        <w:t>тис. грн.</w:t>
      </w:r>
      <w:r w:rsidRPr="00330EDC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в тому числі:</w:t>
      </w:r>
    </w:p>
    <w:p w:rsidR="00330EDC" w:rsidRPr="00330EDC" w:rsidRDefault="00330EDC" w:rsidP="00330EDC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val="ru-RU" w:eastAsia="ar-SA"/>
        </w:rPr>
      </w:pP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>«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Оплата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комунальних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послуг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енергоносіїв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»</w:t>
      </w:r>
      <w:r w:rsidRPr="00330EDC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330EDC">
        <w:rPr>
          <w:rFonts w:ascii="Times New Roman" w:hAnsi="Times New Roman"/>
          <w:sz w:val="28"/>
          <w:szCs w:val="28"/>
          <w:lang w:eastAsia="ar-SA"/>
        </w:rPr>
        <w:t>2166,7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тис. </w:t>
      </w:r>
      <w:r w:rsidRPr="00330EDC">
        <w:rPr>
          <w:rFonts w:ascii="Times New Roman" w:hAnsi="Times New Roman"/>
          <w:sz w:val="28"/>
          <w:szCs w:val="28"/>
          <w:lang w:eastAsia="ar-SA"/>
        </w:rPr>
        <w:t>г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 (вода -439.2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, електроенергія - 505,7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природній газ - 1221,8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  <w:lang w:eastAsia="ar-SA"/>
        </w:rPr>
        <w:t>,</w:t>
      </w:r>
    </w:p>
    <w:p w:rsidR="00330EDC" w:rsidRPr="00330EDC" w:rsidRDefault="00330EDC" w:rsidP="00330ED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 xml:space="preserve">видатки на відрядження - 20.0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навчання - 20,0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.,</w:t>
      </w:r>
    </w:p>
    <w:p w:rsidR="00330EDC" w:rsidRPr="00330EDC" w:rsidRDefault="00330EDC" w:rsidP="00330ED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 xml:space="preserve">пільгові пенсії - 120,0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.,</w:t>
      </w:r>
    </w:p>
    <w:p w:rsidR="00330EDC" w:rsidRPr="00330EDC" w:rsidRDefault="00330EDC" w:rsidP="00330EDC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згідно договорів - 519,6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="00F864AA">
        <w:rPr>
          <w:rFonts w:ascii="Times New Roman" w:hAnsi="Times New Roman"/>
          <w:sz w:val="28"/>
          <w:szCs w:val="28"/>
          <w:lang w:eastAsia="ar-SA"/>
        </w:rPr>
        <w:t>.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(супровід програми, зв’язок, інтернет, централізована охорона майна, пожежна сигналізація, заземлення, </w:t>
      </w:r>
      <w:r w:rsidRPr="00330EDC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обслуговування котлів, страховка, навчання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Хелсі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, ремонт вогнегасників, оренда житла і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т.д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).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Рядок </w:t>
      </w:r>
      <w:r w:rsidRPr="00330EDC">
        <w:rPr>
          <w:rFonts w:ascii="Times New Roman" w:hAnsi="Times New Roman"/>
          <w:sz w:val="28"/>
          <w:szCs w:val="28"/>
          <w:lang w:eastAsia="ar-SA"/>
        </w:rPr>
        <w:t>150</w:t>
      </w:r>
      <w:r w:rsidRPr="00330EDC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330EDC">
        <w:rPr>
          <w:rFonts w:ascii="Times New Roman" w:hAnsi="Times New Roman"/>
          <w:i/>
          <w:sz w:val="28"/>
          <w:szCs w:val="28"/>
          <w:lang w:val="ru-RU" w:eastAsia="ar-SA"/>
        </w:rPr>
        <w:t>«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Адміністративні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витрати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» становить» -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5533,6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>.</w:t>
      </w:r>
      <w:r w:rsidRPr="00330EDC">
        <w:rPr>
          <w:rFonts w:ascii="Times New Roman" w:hAnsi="Times New Roman"/>
          <w:sz w:val="28"/>
          <w:szCs w:val="28"/>
          <w:lang w:eastAsia="ar-SA"/>
        </w:rPr>
        <w:t>, в тому числі: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Матеріальні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затрати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становлять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–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89,6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(паливно - мастильні матеріали - 36,6 </w:t>
      </w:r>
      <w:proofErr w:type="spellStart"/>
      <w:proofErr w:type="gram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proofErr w:type="gram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зап.частини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 - 15,0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друкарські вироби — 20,0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, матеріали-18,0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)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Витрати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на оплату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праці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–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3500,0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>.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Відрахування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соціальні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заходи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- 770,0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. </w:t>
      </w:r>
    </w:p>
    <w:p w:rsidR="00330EDC" w:rsidRPr="00330EDC" w:rsidRDefault="00330EDC" w:rsidP="00330E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Інші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операційні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витрати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– 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1174,0 </w:t>
      </w:r>
      <w:r w:rsidRPr="00330EDC">
        <w:rPr>
          <w:rFonts w:ascii="Times New Roman" w:hAnsi="Times New Roman"/>
          <w:sz w:val="28"/>
          <w:szCs w:val="28"/>
          <w:lang w:val="ru-RU" w:eastAsia="ar-SA"/>
        </w:rPr>
        <w:t>тис. грн.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в </w:t>
      </w:r>
      <w:proofErr w:type="spellStart"/>
      <w:proofErr w:type="gramStart"/>
      <w:r w:rsidRPr="00330EDC">
        <w:rPr>
          <w:rFonts w:ascii="Times New Roman" w:hAnsi="Times New Roman"/>
          <w:sz w:val="28"/>
          <w:szCs w:val="28"/>
          <w:lang w:eastAsia="ar-SA"/>
        </w:rPr>
        <w:t>т.ч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. :</w:t>
      </w:r>
      <w:proofErr w:type="gramEnd"/>
    </w:p>
    <w:p w:rsidR="00330EDC" w:rsidRPr="00330EDC" w:rsidRDefault="00330EDC" w:rsidP="00330EDC">
      <w:pPr>
        <w:pStyle w:val="a3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 xml:space="preserve">Оплата комунальних послуг –928,6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 (вода - 188,2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електроенергія — 216,8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., природній газ — 523,6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330EDC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30EDC" w:rsidRPr="00330EDC" w:rsidRDefault="00330EDC" w:rsidP="00330EDC">
      <w:pPr>
        <w:pStyle w:val="a3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330EDC">
        <w:rPr>
          <w:rFonts w:ascii="Times New Roman" w:hAnsi="Times New Roman"/>
          <w:sz w:val="28"/>
          <w:szCs w:val="28"/>
          <w:lang w:eastAsia="ar-SA"/>
        </w:rPr>
        <w:t xml:space="preserve">згідно договорів — 245,2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 (зв’язок, інтернет, навчання, технічне обслуговування, страховка, обслуговування котлів, ремонт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картриджерів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 xml:space="preserve">, спостереження, управління поліції, охорона і </w:t>
      </w:r>
      <w:proofErr w:type="spellStart"/>
      <w:r w:rsidRPr="00330EDC">
        <w:rPr>
          <w:rFonts w:ascii="Times New Roman" w:hAnsi="Times New Roman"/>
          <w:sz w:val="28"/>
          <w:szCs w:val="28"/>
          <w:lang w:eastAsia="ar-SA"/>
        </w:rPr>
        <w:t>т.д</w:t>
      </w:r>
      <w:proofErr w:type="spellEnd"/>
      <w:r w:rsidRPr="00330EDC">
        <w:rPr>
          <w:rFonts w:ascii="Times New Roman" w:hAnsi="Times New Roman"/>
          <w:sz w:val="28"/>
          <w:szCs w:val="28"/>
          <w:lang w:eastAsia="ar-SA"/>
        </w:rPr>
        <w:t>)</w:t>
      </w:r>
      <w:r w:rsidR="00E763FC">
        <w:rPr>
          <w:rFonts w:ascii="Times New Roman" w:hAnsi="Times New Roman"/>
          <w:sz w:val="28"/>
          <w:szCs w:val="28"/>
          <w:lang w:eastAsia="ar-SA"/>
        </w:rPr>
        <w:t>.</w:t>
      </w:r>
    </w:p>
    <w:p w:rsidR="00330EDC" w:rsidRPr="00330EDC" w:rsidRDefault="00330EDC" w:rsidP="00330EDC">
      <w:pPr>
        <w:pStyle w:val="a3"/>
        <w:ind w:firstLine="709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Підприємство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за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рік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планує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отримати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нульовий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330EDC">
        <w:rPr>
          <w:rFonts w:ascii="Times New Roman" w:hAnsi="Times New Roman"/>
          <w:sz w:val="28"/>
          <w:szCs w:val="28"/>
          <w:lang w:val="ru-RU" w:eastAsia="ar-SA"/>
        </w:rPr>
        <w:t>фінансовий</w:t>
      </w:r>
      <w:proofErr w:type="spellEnd"/>
      <w:r w:rsidRPr="00330EDC">
        <w:rPr>
          <w:rFonts w:ascii="Times New Roman" w:hAnsi="Times New Roman"/>
          <w:sz w:val="28"/>
          <w:szCs w:val="28"/>
          <w:lang w:val="ru-RU" w:eastAsia="ar-SA"/>
        </w:rPr>
        <w:t xml:space="preserve"> результат.</w:t>
      </w:r>
    </w:p>
    <w:p w:rsidR="00330EDC" w:rsidRPr="00330EDC" w:rsidRDefault="00330EDC" w:rsidP="00330EDC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330EDC" w:rsidRPr="00330EDC" w:rsidRDefault="00330EDC" w:rsidP="00330EDC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330EDC" w:rsidRPr="00330EDC" w:rsidRDefault="00330EDC" w:rsidP="00330EDC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330EDC">
        <w:rPr>
          <w:rFonts w:ascii="Times New Roman" w:eastAsia="SimSun" w:hAnsi="Times New Roman"/>
          <w:b/>
          <w:sz w:val="28"/>
          <w:szCs w:val="28"/>
          <w:lang w:eastAsia="ar-SA"/>
        </w:rPr>
        <w:t>Директор</w:t>
      </w:r>
    </w:p>
    <w:p w:rsidR="00330EDC" w:rsidRPr="00330EDC" w:rsidRDefault="00330EDC" w:rsidP="00330EDC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330EDC">
        <w:rPr>
          <w:rFonts w:ascii="Times New Roman" w:eastAsia="SimSun" w:hAnsi="Times New Roman"/>
          <w:b/>
          <w:sz w:val="28"/>
          <w:szCs w:val="28"/>
          <w:lang w:eastAsia="ar-SA"/>
        </w:rPr>
        <w:t>КНП «Ананьївська БМЛ»                                           Анатолій КОЙЧЕВ</w:t>
      </w:r>
    </w:p>
    <w:p w:rsidR="00330EDC" w:rsidRDefault="00330EDC"/>
    <w:p w:rsidR="00F64480" w:rsidRDefault="00F64480"/>
    <w:p w:rsidR="00F64480" w:rsidRDefault="00F64480"/>
    <w:sectPr w:rsidR="00F64480" w:rsidSect="00AD266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 w15:restartNumberingAfterBreak="0">
    <w:nsid w:val="7D2C64F4"/>
    <w:multiLevelType w:val="hybridMultilevel"/>
    <w:tmpl w:val="26C4A03C"/>
    <w:lvl w:ilvl="0" w:tplc="D1343290">
      <w:start w:val="2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85"/>
    <w:rsid w:val="000376C9"/>
    <w:rsid w:val="002865DF"/>
    <w:rsid w:val="00290F91"/>
    <w:rsid w:val="00330EDC"/>
    <w:rsid w:val="003349E0"/>
    <w:rsid w:val="003A0419"/>
    <w:rsid w:val="006066A1"/>
    <w:rsid w:val="00702085"/>
    <w:rsid w:val="0073563A"/>
    <w:rsid w:val="007B6A44"/>
    <w:rsid w:val="00996759"/>
    <w:rsid w:val="00AA3249"/>
    <w:rsid w:val="00AD2668"/>
    <w:rsid w:val="00B20443"/>
    <w:rsid w:val="00BE53DF"/>
    <w:rsid w:val="00D313D0"/>
    <w:rsid w:val="00D67928"/>
    <w:rsid w:val="00D75559"/>
    <w:rsid w:val="00E04191"/>
    <w:rsid w:val="00E6111D"/>
    <w:rsid w:val="00E61F96"/>
    <w:rsid w:val="00E763FC"/>
    <w:rsid w:val="00F4580C"/>
    <w:rsid w:val="00F64480"/>
    <w:rsid w:val="00F8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DC79"/>
  <w15:chartTrackingRefBased/>
  <w15:docId w15:val="{DC4C3450-4482-4976-95DA-15A04A6E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ED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0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4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3124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2021-12-23T06:55:00Z</cp:lastPrinted>
  <dcterms:created xsi:type="dcterms:W3CDTF">2021-12-01T17:01:00Z</dcterms:created>
  <dcterms:modified xsi:type="dcterms:W3CDTF">2021-12-23T06:56:00Z</dcterms:modified>
</cp:coreProperties>
</file>