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07" w:rsidRDefault="00A57D07" w:rsidP="00A57D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FF108E7" wp14:editId="111949DC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07" w:rsidRDefault="00A57D07" w:rsidP="00A57D0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57D07" w:rsidRDefault="00A57D07" w:rsidP="00A57D0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57D07" w:rsidRDefault="00A57D07" w:rsidP="00A57D0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57D07" w:rsidRPr="00A57D07" w:rsidRDefault="00A57D07" w:rsidP="00A57D07">
      <w:pPr>
        <w:pStyle w:val="a4"/>
        <w:rPr>
          <w:rFonts w:ascii="Times New Roman" w:hAnsi="Times New Roman"/>
          <w:sz w:val="28"/>
          <w:szCs w:val="28"/>
        </w:rPr>
      </w:pPr>
    </w:p>
    <w:p w:rsidR="00A57D07" w:rsidRDefault="00A57D07" w:rsidP="00A57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лис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топада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№ 446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043280" w:rsidRDefault="00043280" w:rsidP="00043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7D07" w:rsidRDefault="00043280" w:rsidP="0004328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Про укладання додаткових угод</w:t>
      </w:r>
      <w:r w:rsidR="001911DA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до договорів оренди земельних </w:t>
      </w:r>
    </w:p>
    <w:p w:rsidR="00043280" w:rsidRDefault="00043280" w:rsidP="001911D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ділянок </w:t>
      </w:r>
      <w:r w:rsidR="001911DA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т</w:t>
      </w:r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а</w:t>
      </w:r>
      <w:r w:rsidR="001911DA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>договорів</w:t>
      </w:r>
      <w:proofErr w:type="spellEnd"/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>оренди</w:t>
      </w:r>
      <w:proofErr w:type="spellEnd"/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>водн</w:t>
      </w:r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их</w:t>
      </w:r>
      <w:proofErr w:type="spellEnd"/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>об'єкт</w:t>
      </w:r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ів</w:t>
      </w:r>
      <w:proofErr w:type="spellEnd"/>
    </w:p>
    <w:p w:rsidR="001911DA" w:rsidRPr="001911DA" w:rsidRDefault="001911DA" w:rsidP="001911D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F79" w:rsidRPr="00C10F79" w:rsidRDefault="00C10F79" w:rsidP="00C10F79">
      <w:pPr>
        <w:suppressAutoHyphens/>
        <w:spacing w:after="0" w:line="240" w:lineRule="auto"/>
        <w:ind w:firstLine="708"/>
        <w:jc w:val="both"/>
        <w:rPr>
          <w:rFonts w:eastAsia="Times New Roman" w:cs="Calibri"/>
          <w:kern w:val="1"/>
          <w:sz w:val="28"/>
          <w:szCs w:val="28"/>
          <w:lang w:eastAsia="ar-SA"/>
        </w:rPr>
      </w:pPr>
      <w:r w:rsidRPr="00C10F7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Керуючись пунктами 34,43 статті 26 Закону України «Про місцеве самоврядування в Україні», статтею 30 Закону України “Про  оренду землі”, статтею 12 Земельного кодексу України, частиною 1 статті 65</w:t>
      </w:r>
      <w:r w:rsidR="005D011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 Цивільного Кодексу України, пункту </w:t>
      </w:r>
      <w:r w:rsidRPr="00C10F7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 </w:t>
      </w:r>
      <w:r w:rsidR="005D011B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>Прикінцевих та П</w:t>
      </w:r>
      <w:r w:rsidRPr="00C10F79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>ерехідних положень Закону України «</w:t>
      </w:r>
      <w:r w:rsidRPr="00C10F79">
        <w:rPr>
          <w:rFonts w:ascii="Times New Roman" w:eastAsia="Times New Roman" w:hAnsi="Times New Roman"/>
          <w:bCs/>
          <w:kern w:val="1"/>
          <w:sz w:val="28"/>
          <w:szCs w:val="28"/>
          <w:shd w:val="clear" w:color="auto" w:fill="FFFFFF"/>
          <w:lang w:eastAsia="ar-SA"/>
        </w:rPr>
        <w:t>Про внесення змін до деяких законодавчих актів України щодо уточнення порядку передачі в оренду водних об’єктів у комплексі з земельними ділянками»</w:t>
      </w:r>
      <w:r w:rsidRPr="00C10F79">
        <w:rPr>
          <w:rFonts w:ascii="Times New Roman" w:eastAsia="Times New Roman" w:hAnsi="Times New Roman"/>
          <w:bCs/>
          <w:color w:val="333333"/>
          <w:kern w:val="1"/>
          <w:sz w:val="28"/>
          <w:szCs w:val="28"/>
          <w:shd w:val="clear" w:color="auto" w:fill="FFFFFF"/>
          <w:lang w:eastAsia="ar-SA"/>
        </w:rPr>
        <w:t>,</w:t>
      </w:r>
      <w:r w:rsidRPr="00C10F7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в зв’язку зі змінами сторони договору,  реквізитів “Орендодавця”, площі земельної ділянки, нормативної грошової оцінки, орендної плати та розглянувши клопотання директора ТОВ «</w:t>
      </w:r>
      <w:proofErr w:type="spellStart"/>
      <w:r w:rsidRPr="00C10F7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Агроюна</w:t>
      </w:r>
      <w:proofErr w:type="spellEnd"/>
      <w:r w:rsidRPr="00C10F7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» </w:t>
      </w:r>
      <w:proofErr w:type="spellStart"/>
      <w:r w:rsidRPr="00C10F7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Катернюка</w:t>
      </w:r>
      <w:proofErr w:type="spellEnd"/>
      <w:r w:rsidRPr="00C10F7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Ю.Г., щодо поновлення договору оренди земельної ділянки,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C10F79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, </w:t>
      </w:r>
      <w:r w:rsidRPr="00C10F7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Ананьївська міська рада </w:t>
      </w:r>
    </w:p>
    <w:p w:rsidR="00C10F79" w:rsidRPr="00C10F79" w:rsidRDefault="00C10F79" w:rsidP="00C10F79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10F79" w:rsidRDefault="00C10F79" w:rsidP="00DB0B31">
      <w:pPr>
        <w:tabs>
          <w:tab w:val="left" w:pos="5430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C10F79">
        <w:rPr>
          <w:rFonts w:ascii="Times New Roman" w:hAnsi="Times New Roman"/>
          <w:b/>
          <w:sz w:val="28"/>
          <w:szCs w:val="28"/>
        </w:rPr>
        <w:t>ВИРІШИЛА:</w:t>
      </w:r>
    </w:p>
    <w:p w:rsidR="00DB0B31" w:rsidRPr="00C10F79" w:rsidRDefault="00DB0B31" w:rsidP="00DB0B31">
      <w:pPr>
        <w:tabs>
          <w:tab w:val="left" w:pos="543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C10F79" w:rsidRPr="00DB0B31" w:rsidRDefault="00DB0B31" w:rsidP="00DB0B3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0F79" w:rsidRPr="00DB0B31">
        <w:rPr>
          <w:rFonts w:ascii="Times New Roman" w:hAnsi="Times New Roman"/>
          <w:sz w:val="28"/>
          <w:szCs w:val="28"/>
        </w:rPr>
        <w:t>Укласти додаткові угоди до договорів оренди земельних ділянок та договорів оренди водних об'єктів згідно з додатком.</w:t>
      </w:r>
    </w:p>
    <w:p w:rsidR="00DB0B31" w:rsidRPr="00C10F79" w:rsidRDefault="00DB0B31" w:rsidP="00DB0B31">
      <w:pPr>
        <w:widowControl w:val="0"/>
        <w:tabs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0F79" w:rsidRPr="00DB0B31" w:rsidRDefault="00DB0B31" w:rsidP="00DB0B3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0F79" w:rsidRPr="00DB0B31">
        <w:rPr>
          <w:rFonts w:ascii="Times New Roman" w:hAnsi="Times New Roman"/>
          <w:sz w:val="28"/>
          <w:szCs w:val="28"/>
        </w:rPr>
        <w:t xml:space="preserve">Доручити </w:t>
      </w:r>
      <w:proofErr w:type="spellStart"/>
      <w:r w:rsidR="00C10F79" w:rsidRPr="00DB0B31">
        <w:rPr>
          <w:rFonts w:ascii="Times New Roman" w:hAnsi="Times New Roman"/>
          <w:sz w:val="28"/>
          <w:szCs w:val="28"/>
        </w:rPr>
        <w:t>Ананьївському</w:t>
      </w:r>
      <w:proofErr w:type="spellEnd"/>
      <w:r w:rsidR="00C10F79" w:rsidRPr="00DB0B31">
        <w:rPr>
          <w:rFonts w:ascii="Times New Roman" w:hAnsi="Times New Roman"/>
          <w:sz w:val="28"/>
          <w:szCs w:val="28"/>
        </w:rPr>
        <w:t xml:space="preserve"> міському голові Тищенку Ю.С. укласти додаткові угоди до договорів оренди земельних ділянок та договорів оренди водних об'єктів</w:t>
      </w:r>
      <w:r w:rsidR="00B768BA">
        <w:rPr>
          <w:rFonts w:ascii="Times New Roman" w:hAnsi="Times New Roman"/>
          <w:sz w:val="28"/>
          <w:szCs w:val="28"/>
        </w:rPr>
        <w:t>,</w:t>
      </w:r>
      <w:r w:rsidR="00C10F79" w:rsidRPr="00DB0B31">
        <w:rPr>
          <w:rFonts w:ascii="Times New Roman" w:hAnsi="Times New Roman"/>
          <w:sz w:val="28"/>
          <w:szCs w:val="28"/>
        </w:rPr>
        <w:t xml:space="preserve"> зазначених у пункті 1 цього рішення.</w:t>
      </w:r>
    </w:p>
    <w:p w:rsidR="00DB0B31" w:rsidRPr="00DB0B31" w:rsidRDefault="00DB0B31" w:rsidP="00DB0B31">
      <w:pPr>
        <w:pStyle w:val="a3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0F79" w:rsidRPr="00DB0B31" w:rsidRDefault="00C10F79" w:rsidP="00DB0B3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B0B31">
        <w:rPr>
          <w:rFonts w:ascii="Times New Roman" w:hAnsi="Times New Roman"/>
          <w:sz w:val="28"/>
          <w:szCs w:val="28"/>
        </w:rPr>
        <w:t xml:space="preserve">3. Контроль за виконанням цього рішення покласти на постійну комісію </w:t>
      </w:r>
      <w:r w:rsidR="00A57D07" w:rsidRPr="00C10F7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Ананьївської міської ради</w:t>
      </w:r>
      <w:r w:rsidR="00A57D07" w:rsidRPr="00DB0B31">
        <w:rPr>
          <w:rFonts w:ascii="Times New Roman" w:hAnsi="Times New Roman"/>
          <w:sz w:val="28"/>
          <w:szCs w:val="28"/>
        </w:rPr>
        <w:t xml:space="preserve"> </w:t>
      </w:r>
      <w:r w:rsidRPr="00DB0B31">
        <w:rPr>
          <w:rFonts w:ascii="Times New Roman" w:hAnsi="Times New Roman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911DA" w:rsidRPr="001911DA" w:rsidRDefault="001911DA" w:rsidP="00043280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1911DA" w:rsidRDefault="001911DA" w:rsidP="00043280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B0B31" w:rsidRPr="001911DA" w:rsidRDefault="00DB0B31" w:rsidP="00043280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043280" w:rsidRDefault="00043280" w:rsidP="001911D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</w:pPr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 xml:space="preserve">Ананьївський міський голова                                </w:t>
      </w:r>
      <w:r w:rsidR="001911DA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 xml:space="preserve">          </w:t>
      </w:r>
      <w:r w:rsidR="00A57D07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 xml:space="preserve">  </w:t>
      </w:r>
      <w:r w:rsidRPr="00043280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>Юрій ТИЩЕНКО</w:t>
      </w:r>
    </w:p>
    <w:p w:rsidR="00C44880" w:rsidRDefault="00C44880" w:rsidP="000432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sectPr w:rsidR="00C44880" w:rsidSect="00A57D07">
          <w:pgSz w:w="11906" w:h="16838"/>
          <w:pgMar w:top="709" w:right="850" w:bottom="850" w:left="1701" w:header="708" w:footer="708" w:gutter="0"/>
          <w:cols w:space="708"/>
          <w:docGrid w:linePitch="360"/>
        </w:sectPr>
      </w:pPr>
    </w:p>
    <w:p w:rsidR="00962C42" w:rsidRPr="00962C42" w:rsidRDefault="00962C42" w:rsidP="005D011B">
      <w:pPr>
        <w:widowControl w:val="0"/>
        <w:tabs>
          <w:tab w:val="left" w:pos="10632"/>
        </w:tabs>
        <w:suppressAutoHyphens/>
        <w:spacing w:after="0" w:line="240" w:lineRule="auto"/>
        <w:ind w:firstLine="765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962C42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                                </w:t>
      </w:r>
      <w:r w:rsidR="00DB0B3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962C4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Додаток </w:t>
      </w:r>
    </w:p>
    <w:p w:rsidR="00962C42" w:rsidRPr="00962C42" w:rsidRDefault="00962C42" w:rsidP="00962C42">
      <w:pPr>
        <w:suppressAutoHyphens/>
        <w:spacing w:after="0" w:line="240" w:lineRule="auto"/>
        <w:ind w:firstLine="765"/>
        <w:jc w:val="right"/>
        <w:rPr>
          <w:rFonts w:eastAsia="Times New Roman"/>
          <w:kern w:val="2"/>
          <w:sz w:val="24"/>
          <w:szCs w:val="24"/>
          <w:lang w:eastAsia="ar-SA"/>
        </w:rPr>
      </w:pPr>
      <w:r w:rsidRPr="00962C4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до рішення Ананьївської міської ради</w:t>
      </w:r>
    </w:p>
    <w:p w:rsidR="00A57D07" w:rsidRPr="00A57D07" w:rsidRDefault="00962C42" w:rsidP="00A57D07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62C4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</w:t>
      </w:r>
      <w:r w:rsidR="00DB0B3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A57D0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</w:t>
      </w:r>
      <w:r w:rsidRPr="00962C4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від 19 листопада </w:t>
      </w:r>
      <w:r w:rsidRPr="00A57D0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2021</w:t>
      </w:r>
      <w:r w:rsidR="00A57D0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р.</w:t>
      </w:r>
      <w:r w:rsidRPr="00A57D0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A57D07" w:rsidRPr="00A57D0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№ 446-VІІІ</w:t>
      </w:r>
    </w:p>
    <w:p w:rsidR="00962C42" w:rsidRPr="00962C42" w:rsidRDefault="00962C42" w:rsidP="00A57D07">
      <w:pPr>
        <w:widowControl w:val="0"/>
        <w:suppressAutoHyphens/>
        <w:spacing w:after="0" w:line="200" w:lineRule="atLeast"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BA764C" w:rsidRPr="00A57D07" w:rsidRDefault="00962C42" w:rsidP="00962C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A57D0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Перелік договорів до яких  вносяться  зміни     </w:t>
      </w:r>
    </w:p>
    <w:p w:rsidR="00962C42" w:rsidRPr="00962C42" w:rsidRDefault="00962C42" w:rsidP="00962C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962C4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6"/>
        <w:gridCol w:w="1285"/>
        <w:gridCol w:w="1276"/>
        <w:gridCol w:w="1985"/>
        <w:gridCol w:w="1701"/>
        <w:gridCol w:w="2244"/>
        <w:gridCol w:w="2130"/>
        <w:gridCol w:w="2772"/>
      </w:tblGrid>
      <w:tr w:rsidR="00962C42" w:rsidRPr="00962C42" w:rsidTr="00962C42">
        <w:trPr>
          <w:trHeight w:val="1035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№ договору оренди земельної ді</w:t>
            </w:r>
            <w:r w:rsidR="00BA764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л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янки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Дата укладання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договору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Кадастровий номер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Орендар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Зміни</w:t>
            </w:r>
          </w:p>
        </w:tc>
      </w:tr>
      <w:tr w:rsidR="00962C42" w:rsidRPr="00962C42" w:rsidTr="00962C42">
        <w:trPr>
          <w:trHeight w:val="861"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б/н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 липня 2006 року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22.04.2009 року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 ділянки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Договір оренди водного об'єкту загальнодержавного значення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5120280500: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01:001:0370</w:t>
            </w:r>
          </w:p>
          <w:p w:rsidR="00962C42" w:rsidRPr="00962C42" w:rsidRDefault="00962C42" w:rsidP="00962C42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Ігнатьєв</w:t>
            </w:r>
            <w:proofErr w:type="spellEnd"/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Сергій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Дмитрович</w:t>
            </w:r>
          </w:p>
        </w:tc>
        <w:tc>
          <w:tcPr>
            <w:tcW w:w="27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Реквізити Ананьївської міської ради;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Сторона договору - Ананьївська міська рада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Умови договору. Річна орендна плата</w:t>
            </w:r>
          </w:p>
        </w:tc>
      </w:tr>
      <w:tr w:rsidR="00962C42" w:rsidRPr="00962C42" w:rsidTr="00962C42">
        <w:trPr>
          <w:trHeight w:val="861"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б/н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05 травня 2006 року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05 травня 2006 року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 ділянки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Договір оренди водного об'єкту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5120285600:</w:t>
            </w:r>
          </w:p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01:002:0262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районна державна адміністрація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Винниченко Наталія Анатоліївна</w:t>
            </w:r>
          </w:p>
        </w:tc>
        <w:tc>
          <w:tcPr>
            <w:tcW w:w="277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Реквізити Ананьївської міської ради;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Сторона договору - Ананьївська міська рада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Умови договору. Річна орендна плата</w:t>
            </w:r>
          </w:p>
        </w:tc>
      </w:tr>
      <w:tr w:rsidR="00962C42" w:rsidRPr="00962C42" w:rsidTr="00962C42">
        <w:trPr>
          <w:trHeight w:val="86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б/н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23 березня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2006 року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23 березня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2006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 ділянки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 оренди водного об'єкту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5120280500:</w:t>
            </w:r>
          </w:p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01:001:0168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районна державна адміністрація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Патрікан</w:t>
            </w:r>
            <w:proofErr w:type="spellEnd"/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Аркадій Миколайович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Реквізити Ананьївської міської ради;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Сторона договору - Ананьївська міська рада</w:t>
            </w:r>
          </w:p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Умови договору. Площа земельної ділянки. Річна орендна плата</w:t>
            </w:r>
          </w:p>
        </w:tc>
      </w:tr>
      <w:tr w:rsidR="00962C42" w:rsidRPr="00962C42" w:rsidTr="00962C42">
        <w:trPr>
          <w:trHeight w:val="86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26 листопада</w:t>
            </w:r>
          </w:p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2014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 оренди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 ділянки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12,68 га</w:t>
            </w:r>
          </w:p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нерозподілені (не витребувані) земельні частки (паї)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ТОВ «</w:t>
            </w:r>
            <w:proofErr w:type="spellStart"/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Агроюна</w:t>
            </w:r>
            <w:proofErr w:type="spellEnd"/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Pr="00962C42" w:rsidRDefault="00962C42" w:rsidP="00962C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62C4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Поновлення договору оренди</w:t>
            </w:r>
          </w:p>
        </w:tc>
      </w:tr>
    </w:tbl>
    <w:p w:rsidR="00962C42" w:rsidRPr="00962C42" w:rsidRDefault="00962C42" w:rsidP="00962C4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962C4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</w:t>
      </w:r>
    </w:p>
    <w:p w:rsidR="00C44880" w:rsidRPr="00C44880" w:rsidRDefault="00C44880" w:rsidP="00C4488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4488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</w:t>
      </w:r>
    </w:p>
    <w:p w:rsidR="00C44880" w:rsidRPr="00043280" w:rsidRDefault="00C44880" w:rsidP="000432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8174DF" w:rsidRDefault="008174DF"/>
    <w:sectPr w:rsidR="008174DF" w:rsidSect="00C52580">
      <w:pgSz w:w="16838" w:h="11906" w:orient="landscape"/>
      <w:pgMar w:top="1276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7E219D"/>
    <w:multiLevelType w:val="hybridMultilevel"/>
    <w:tmpl w:val="193EC380"/>
    <w:lvl w:ilvl="0" w:tplc="6ED68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7F"/>
    <w:rsid w:val="00043280"/>
    <w:rsid w:val="000F6E7F"/>
    <w:rsid w:val="001911DA"/>
    <w:rsid w:val="00564FE8"/>
    <w:rsid w:val="005D011B"/>
    <w:rsid w:val="008174DF"/>
    <w:rsid w:val="00962C42"/>
    <w:rsid w:val="00A57D07"/>
    <w:rsid w:val="00B768BA"/>
    <w:rsid w:val="00BA764C"/>
    <w:rsid w:val="00C10F79"/>
    <w:rsid w:val="00C44880"/>
    <w:rsid w:val="00C52580"/>
    <w:rsid w:val="00D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1AC3"/>
  <w15:chartTrackingRefBased/>
  <w15:docId w15:val="{7A63DDF4-5DEC-4AD2-A504-6792AFF5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8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DA"/>
    <w:pPr>
      <w:ind w:left="720"/>
      <w:contextualSpacing/>
    </w:pPr>
  </w:style>
  <w:style w:type="paragraph" w:styleId="a4">
    <w:name w:val="No Spacing"/>
    <w:uiPriority w:val="1"/>
    <w:qFormat/>
    <w:rsid w:val="001911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2531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2021-11-12T17:07:00Z</dcterms:created>
  <dcterms:modified xsi:type="dcterms:W3CDTF">2021-11-20T09:28:00Z</dcterms:modified>
</cp:coreProperties>
</file>