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9E" w:rsidRPr="0055579E" w:rsidRDefault="0055579E" w:rsidP="005557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5579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18A0DE8" wp14:editId="7844431C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9E" w:rsidRPr="0055579E" w:rsidRDefault="0055579E" w:rsidP="0055579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557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5579E" w:rsidRPr="0055579E" w:rsidRDefault="0055579E" w:rsidP="0055579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5579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  <w:bookmarkStart w:id="0" w:name="_GoBack"/>
      <w:bookmarkEnd w:id="0"/>
    </w:p>
    <w:p w:rsidR="0055579E" w:rsidRPr="0055579E" w:rsidRDefault="0055579E" w:rsidP="0055579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55579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200730" w:rsidRDefault="00200730" w:rsidP="00200730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E52826" w:rsidRDefault="00CF3ABB" w:rsidP="00E52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200730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2021 року</w:t>
      </w:r>
      <w:r w:rsidR="00555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79E">
        <w:rPr>
          <w:rFonts w:ascii="Times New Roman" w:eastAsia="Times New Roman" w:hAnsi="Times New Roman"/>
          <w:sz w:val="28"/>
          <w:szCs w:val="28"/>
          <w:lang w:eastAsia="ru-RU"/>
        </w:rPr>
        <w:tab/>
        <w:t>№ 356</w:t>
      </w:r>
      <w:r w:rsidR="00E528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5282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E52826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200730" w:rsidRDefault="00200730" w:rsidP="002007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730" w:rsidRPr="007818B1" w:rsidRDefault="00200730" w:rsidP="00200730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 w:rsidRPr="007818B1">
        <w:rPr>
          <w:rFonts w:ascii="Times New Roman" w:hAnsi="Times New Roman"/>
          <w:b/>
          <w:sz w:val="28"/>
          <w:szCs w:val="28"/>
          <w:lang w:eastAsia="uk-UA"/>
        </w:rPr>
        <w:t>проєктів</w:t>
      </w:r>
      <w:proofErr w:type="spellEnd"/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200730" w:rsidRPr="00566E8A" w:rsidRDefault="00200730" w:rsidP="00200730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земельних ділянок </w:t>
      </w:r>
      <w:r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 будівель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для передачі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їх 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</w:p>
    <w:p w:rsidR="00200730" w:rsidRDefault="00200730" w:rsidP="0020073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200730" w:rsidRDefault="00200730" w:rsidP="002007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18B1">
        <w:rPr>
          <w:rFonts w:ascii="Times New Roman" w:hAnsi="Times New Roman"/>
          <w:sz w:val="28"/>
          <w:szCs w:val="28"/>
          <w:lang w:eastAsia="uk-UA"/>
        </w:rPr>
        <w:t>Розгл</w:t>
      </w:r>
      <w:r>
        <w:rPr>
          <w:rFonts w:ascii="Times New Roman" w:hAnsi="Times New Roman"/>
          <w:sz w:val="28"/>
          <w:szCs w:val="28"/>
          <w:lang w:eastAsia="uk-UA"/>
        </w:rPr>
        <w:t xml:space="preserve">янувши клопотання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Чивильової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Ю.Г.</w:t>
      </w:r>
      <w:r w:rsidRPr="007818B1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Лисогори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Л.Я.,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Мойсєєвої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Фонтанюк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Г.Г., керуючись статтями 12,83,93,</w:t>
      </w:r>
      <w:r w:rsidRPr="007818B1">
        <w:rPr>
          <w:rFonts w:ascii="Times New Roman" w:hAnsi="Times New Roman"/>
          <w:sz w:val="28"/>
          <w:szCs w:val="28"/>
          <w:lang w:eastAsia="uk-UA"/>
        </w:rPr>
        <w:t>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00730" w:rsidRPr="00E42C9B" w:rsidRDefault="00200730" w:rsidP="002007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0730" w:rsidRDefault="00200730" w:rsidP="00E5282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00730" w:rsidRPr="00E42C9B" w:rsidRDefault="00200730" w:rsidP="002007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0730" w:rsidRPr="007818B1" w:rsidRDefault="00200730" w:rsidP="006A5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Надати дозвіл на розробку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земельних ділянок для передачі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їх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 міської територіальної громади:</w:t>
      </w:r>
    </w:p>
    <w:p w:rsidR="00200730" w:rsidRPr="00454EAE" w:rsidRDefault="00200730" w:rsidP="006A5C01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Чивильовій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Гаврилівні орієнтовною площею 0,0022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для обс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луговування приміщення магазину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вул.Незалежності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,3/3</w:t>
      </w:r>
      <w:r w:rsidR="000A1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00730" w:rsidRPr="00454EAE" w:rsidRDefault="00200730" w:rsidP="00200730">
      <w:pPr>
        <w:numPr>
          <w:ilvl w:val="1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Лисогорі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Ярославівні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Мойсєєвій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орієнтовною площею 0,0156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для обс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луговування нежитлових будівель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вул.Виноградова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Вані,8;</w:t>
      </w:r>
    </w:p>
    <w:p w:rsidR="00200730" w:rsidRPr="0055579E" w:rsidRDefault="00200730" w:rsidP="000A155D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Фонтанюк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Галині Григорівні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орієнтовною площею 0,0240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для обс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луговування нежитлової будівлі складу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Успенська,125а.</w:t>
      </w:r>
    </w:p>
    <w:p w:rsidR="0055579E" w:rsidRPr="0055579E" w:rsidRDefault="0055579E" w:rsidP="0055579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0730" w:rsidRDefault="00200730" w:rsidP="000A1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2. Зобов’язати осіб, вказаних в пункті 1, розроблені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подати на затвердження до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ської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порядку. </w:t>
      </w:r>
    </w:p>
    <w:p w:rsidR="0055579E" w:rsidRPr="0055579E" w:rsidRDefault="0055579E" w:rsidP="000A1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00730" w:rsidRDefault="00200730" w:rsidP="005557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55579E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DD41A6" w:rsidRPr="007818B1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,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E52826" w:rsidRPr="005A253A" w:rsidRDefault="00E52826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</w:p>
    <w:p w:rsidR="00E52826" w:rsidRDefault="00E52826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</w:p>
    <w:p w:rsidR="005A253A" w:rsidRPr="005A253A" w:rsidRDefault="005A253A" w:rsidP="0020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</w:p>
    <w:p w:rsidR="007102A3" w:rsidRDefault="00200730" w:rsidP="00A96991">
      <w:pPr>
        <w:spacing w:after="0" w:line="240" w:lineRule="auto"/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A9699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A9699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AE7E5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</w:t>
      </w:r>
      <w:r w:rsidR="000A155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</w:t>
      </w: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sectPr w:rsidR="007102A3" w:rsidSect="0055579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3"/>
    <w:rsid w:val="000A155D"/>
    <w:rsid w:val="00200730"/>
    <w:rsid w:val="00407BD9"/>
    <w:rsid w:val="00504FE3"/>
    <w:rsid w:val="0055579E"/>
    <w:rsid w:val="005A253A"/>
    <w:rsid w:val="006A5C01"/>
    <w:rsid w:val="007102A3"/>
    <w:rsid w:val="00A96991"/>
    <w:rsid w:val="00AE7E53"/>
    <w:rsid w:val="00CE4F7E"/>
    <w:rsid w:val="00CF3ABB"/>
    <w:rsid w:val="00DD41A6"/>
    <w:rsid w:val="00E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2021-09-05T12:00:00Z</cp:lastPrinted>
  <dcterms:created xsi:type="dcterms:W3CDTF">2021-08-17T11:01:00Z</dcterms:created>
  <dcterms:modified xsi:type="dcterms:W3CDTF">2021-09-05T12:01:00Z</dcterms:modified>
</cp:coreProperties>
</file>