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4D" w:rsidRPr="0089744D" w:rsidRDefault="0089744D" w:rsidP="0089744D">
      <w:pPr>
        <w:jc w:val="center"/>
        <w:rPr>
          <w:rFonts w:eastAsia="Calibri" w:cs="Calibri"/>
          <w:b/>
          <w:bCs/>
          <w:sz w:val="28"/>
          <w:szCs w:val="28"/>
        </w:rPr>
      </w:pPr>
      <w:r w:rsidRPr="0089744D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6F584559" wp14:editId="2869554B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4D" w:rsidRPr="0089744D" w:rsidRDefault="0089744D" w:rsidP="0089744D">
      <w:pPr>
        <w:jc w:val="center"/>
        <w:rPr>
          <w:rFonts w:eastAsia="Calibri" w:cs="Calibri"/>
          <w:b/>
          <w:bCs/>
          <w:sz w:val="28"/>
          <w:szCs w:val="28"/>
        </w:rPr>
      </w:pPr>
      <w:r w:rsidRPr="0089744D">
        <w:rPr>
          <w:rFonts w:eastAsia="Calibri" w:cs="Calibri"/>
          <w:b/>
          <w:bCs/>
          <w:sz w:val="28"/>
          <w:szCs w:val="28"/>
        </w:rPr>
        <w:t>УКРАЇНА</w:t>
      </w:r>
    </w:p>
    <w:p w:rsidR="0089744D" w:rsidRPr="0089744D" w:rsidRDefault="0089744D" w:rsidP="0089744D">
      <w:pPr>
        <w:jc w:val="center"/>
        <w:rPr>
          <w:rFonts w:eastAsia="Calibri" w:cs="Calibri"/>
          <w:b/>
          <w:bCs/>
          <w:sz w:val="28"/>
          <w:szCs w:val="28"/>
        </w:rPr>
      </w:pPr>
      <w:r w:rsidRPr="0089744D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89744D" w:rsidRPr="0089744D" w:rsidRDefault="0089744D" w:rsidP="0089744D">
      <w:pPr>
        <w:jc w:val="center"/>
        <w:rPr>
          <w:rFonts w:eastAsia="Calibri" w:cs="Calibri"/>
          <w:b/>
          <w:bCs/>
          <w:sz w:val="28"/>
          <w:szCs w:val="28"/>
        </w:rPr>
      </w:pPr>
      <w:r w:rsidRPr="0089744D">
        <w:rPr>
          <w:rFonts w:eastAsia="Calibri" w:cs="Calibri"/>
          <w:b/>
          <w:bCs/>
          <w:sz w:val="28"/>
          <w:szCs w:val="28"/>
        </w:rPr>
        <w:t>РІШЕННЯ</w:t>
      </w:r>
    </w:p>
    <w:p w:rsidR="0089744D" w:rsidRPr="0089744D" w:rsidRDefault="0089744D" w:rsidP="0089744D">
      <w:pPr>
        <w:jc w:val="both"/>
        <w:rPr>
          <w:rFonts w:eastAsia="Calibri" w:cs="Calibri"/>
        </w:rPr>
      </w:pPr>
    </w:p>
    <w:p w:rsidR="0089744D" w:rsidRPr="0089744D" w:rsidRDefault="0089744D" w:rsidP="0089744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9744D">
        <w:rPr>
          <w:rFonts w:eastAsia="Calibri"/>
          <w:sz w:val="28"/>
          <w:szCs w:val="28"/>
          <w:lang w:eastAsia="en-US"/>
        </w:rPr>
        <w:t>06 серпня 2021 року</w:t>
      </w:r>
    </w:p>
    <w:p w:rsidR="0089744D" w:rsidRPr="0089744D" w:rsidRDefault="0089744D" w:rsidP="0089744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312</w:t>
      </w:r>
      <w:r w:rsidRPr="0089744D">
        <w:rPr>
          <w:rFonts w:eastAsia="Calibri"/>
          <w:sz w:val="28"/>
          <w:szCs w:val="28"/>
          <w:lang w:eastAsia="en-US"/>
        </w:rPr>
        <w:t>-</w:t>
      </w:r>
      <w:r w:rsidRPr="0089744D">
        <w:rPr>
          <w:rFonts w:eastAsia="Calibri"/>
          <w:sz w:val="28"/>
          <w:szCs w:val="28"/>
          <w:lang w:val="en-US" w:eastAsia="en-US"/>
        </w:rPr>
        <w:t>V</w:t>
      </w:r>
      <w:r w:rsidRPr="0089744D">
        <w:rPr>
          <w:rFonts w:eastAsia="Calibri"/>
          <w:sz w:val="28"/>
          <w:szCs w:val="28"/>
          <w:lang w:eastAsia="en-US"/>
        </w:rPr>
        <w:t>ІІІ</w:t>
      </w:r>
    </w:p>
    <w:p w:rsidR="007D1C84" w:rsidRPr="0089744D" w:rsidRDefault="007D1C84" w:rsidP="007D1C84">
      <w:pPr>
        <w:ind w:right="1299"/>
        <w:jc w:val="center"/>
        <w:rPr>
          <w:sz w:val="28"/>
          <w:szCs w:val="28"/>
        </w:rPr>
      </w:pPr>
    </w:p>
    <w:p w:rsidR="007D1C84" w:rsidRDefault="007D1C84" w:rsidP="007D1C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7D1C84" w:rsidRDefault="007D1C84" w:rsidP="007D1C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безоплатно у власність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7D1C84" w:rsidRDefault="007D1C84" w:rsidP="007D1C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межах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населених пунктів</w:t>
      </w:r>
    </w:p>
    <w:p w:rsidR="007D1C84" w:rsidRPr="0089744D" w:rsidRDefault="007D1C84" w:rsidP="007D1C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C84" w:rsidRDefault="007D1C84" w:rsidP="007D1C84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Слаблюка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Постовіт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М.Т.,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Рубаха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Казимірової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Шешеніної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О.І.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Шешеніної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В.О.), Трач Н.А.,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Стрецкул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Мостового М.С., Валентинова В.О.,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Байлюк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Смоквиної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Г.М., Білоуса М.І., Білоус Т.Г., Рудої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Слєсаренко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Бодюл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Сухацького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D1C84" w:rsidRDefault="007D1C84" w:rsidP="007D1C8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C84" w:rsidRDefault="007D1C84" w:rsidP="007D1C8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7D1C84" w:rsidRPr="00665845" w:rsidRDefault="007D1C84" w:rsidP="007D1C84">
      <w:pPr>
        <w:jc w:val="both"/>
      </w:pPr>
      <w:r>
        <w:rPr>
          <w:b/>
          <w:sz w:val="28"/>
          <w:szCs w:val="28"/>
        </w:rPr>
        <w:t xml:space="preserve"> </w:t>
      </w:r>
    </w:p>
    <w:p w:rsidR="007D1C84" w:rsidRDefault="007D1C84" w:rsidP="0089744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74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 безоплатно у власність для ведення особистого селянського господарства в межах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Слаблюку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Івану Петровичу орієнтовною площею 0,75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вул.Лісова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Постовіт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Трохимовичу орієнтовною площею 0,50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Українки,110;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Савостянівні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0,33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вул.Грушевського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,25;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Казиміровій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Миколаївні орієнтовною площею 0,50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,69;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Шешеніній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Варварі Олександрівні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Шешеніна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Іванівна)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вул.Тилігульська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Трач Надії Афанасіївні орієнтовною площею 1,00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вул.Маринича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Павла,160;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Стрецкул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Олександрівні орієнтовною площею 0,30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,135;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Мостовому Миколі Степановичу орієнтовною площею 0,25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Гончара,46;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Валентинову Віктору Олексійовичу орієнтовною площею 0,25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с.Пасицели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,26;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Володимирівні орієнтовною площею 0,50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вул.Котовського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Смоквиній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Ганні Михайлівні орієнтовною площею 1,00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Українки,165;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Білоусу Миколі Івановичу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с.Струтинка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Білоус Тетяні Григорівні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с.Струтинка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Рудій Вірі Василівні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Слєсаренко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Бодюл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 орієнтовною площею 1,80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C84" w:rsidRDefault="007D1C84" w:rsidP="0089744D">
      <w:pPr>
        <w:pStyle w:val="a4"/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Вадиму Вікторовичу орієнтовною площею 2,00 га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вул.Поліщука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,б/н.</w:t>
      </w:r>
    </w:p>
    <w:p w:rsidR="007D1C84" w:rsidRDefault="007D1C84" w:rsidP="007D1C8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C84" w:rsidRDefault="007D1C84" w:rsidP="007D1C84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</w:t>
      </w:r>
    </w:p>
    <w:p w:rsidR="007D1C84" w:rsidRPr="00AF6442" w:rsidRDefault="007D1C84" w:rsidP="007D1C84">
      <w:pPr>
        <w:tabs>
          <w:tab w:val="left" w:pos="709"/>
        </w:tabs>
        <w:jc w:val="both"/>
      </w:pPr>
      <w:r>
        <w:rPr>
          <w:rFonts w:eastAsia="Times New Roman"/>
          <w:sz w:val="28"/>
          <w:szCs w:val="28"/>
          <w:lang w:val="ru-RU"/>
        </w:rPr>
        <w:t xml:space="preserve"> </w:t>
      </w:r>
    </w:p>
    <w:p w:rsidR="007D1C84" w:rsidRDefault="007D1C84" w:rsidP="007D1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74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89B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7D1C84" w:rsidRDefault="007D1C84" w:rsidP="007D1C84">
      <w:pPr>
        <w:pStyle w:val="a4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C84" w:rsidRDefault="007D1C84" w:rsidP="007D1C84">
      <w:pPr>
        <w:pStyle w:val="a4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     </w:t>
      </w:r>
    </w:p>
    <w:p w:rsidR="007D1C84" w:rsidRDefault="007D1C84" w:rsidP="007D1C84">
      <w:pPr>
        <w:jc w:val="both"/>
        <w:rPr>
          <w:b/>
        </w:rPr>
      </w:pPr>
    </w:p>
    <w:p w:rsidR="007D1C84" w:rsidRDefault="007D1C84" w:rsidP="007D1C84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p w:rsidR="00767A79" w:rsidRDefault="00767A79"/>
    <w:sectPr w:rsidR="00767A79" w:rsidSect="002B47D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50FD"/>
    <w:multiLevelType w:val="multilevel"/>
    <w:tmpl w:val="95043A1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A1"/>
    <w:rsid w:val="00275AD8"/>
    <w:rsid w:val="002B47D8"/>
    <w:rsid w:val="00485404"/>
    <w:rsid w:val="00665845"/>
    <w:rsid w:val="00751E61"/>
    <w:rsid w:val="00767A79"/>
    <w:rsid w:val="007D1C84"/>
    <w:rsid w:val="0089744D"/>
    <w:rsid w:val="00AF6442"/>
    <w:rsid w:val="00D32293"/>
    <w:rsid w:val="00DE5D16"/>
    <w:rsid w:val="00EA12A1"/>
    <w:rsid w:val="00EC3816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8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D1C84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D1C8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97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4D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8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D1C84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D1C8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97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4D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2021-07-29T11:43:00Z</dcterms:created>
  <dcterms:modified xsi:type="dcterms:W3CDTF">2021-08-06T11:26:00Z</dcterms:modified>
</cp:coreProperties>
</file>